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2B5C32F4" w:rsidR="0032671E" w:rsidRPr="00DB3907" w:rsidRDefault="0032671E" w:rsidP="0032671E">
      <w:pPr>
        <w:pStyle w:val="Header"/>
        <w:tabs>
          <w:tab w:val="right" w:pos="9639"/>
        </w:tabs>
        <w:rPr>
          <w:rFonts w:cs="Courier New"/>
          <w:sz w:val="24"/>
          <w:szCs w:val="24"/>
          <w:lang w:val="de-DE"/>
        </w:rPr>
      </w:pPr>
      <w:bookmarkStart w:id="0" w:name="_GoBack"/>
      <w:bookmarkEnd w:id="0"/>
      <w:r w:rsidRPr="00DB3907">
        <w:rPr>
          <w:rFonts w:cs="Courier New"/>
          <w:sz w:val="24"/>
          <w:szCs w:val="24"/>
          <w:lang w:val="de-DE"/>
        </w:rPr>
        <w:t>3GPP TSG-RAN WG4 #</w:t>
      </w:r>
      <w:r>
        <w:rPr>
          <w:rFonts w:cs="Courier New"/>
          <w:sz w:val="24"/>
          <w:szCs w:val="24"/>
          <w:lang w:val="de-DE"/>
        </w:rPr>
        <w:t>7</w:t>
      </w:r>
      <w:r w:rsidR="00014E79">
        <w:rPr>
          <w:rFonts w:cs="Courier New"/>
          <w:sz w:val="24"/>
          <w:szCs w:val="24"/>
          <w:lang w:val="de-DE"/>
        </w:rPr>
        <w:t>8</w:t>
      </w:r>
      <w:r w:rsidRPr="00DB3907">
        <w:rPr>
          <w:rFonts w:cs="Courier New"/>
          <w:sz w:val="24"/>
          <w:szCs w:val="24"/>
          <w:lang w:val="de-DE"/>
        </w:rPr>
        <w:tab/>
        <w:t>R4-</w:t>
      </w:r>
      <w:r w:rsidR="0032280B" w:rsidRPr="0032280B">
        <w:rPr>
          <w:rFonts w:cs="Courier New"/>
          <w:sz w:val="24"/>
          <w:szCs w:val="24"/>
          <w:lang w:val="de-DE"/>
        </w:rPr>
        <w:t>1610</w:t>
      </w:r>
      <w:r w:rsidR="008829C1">
        <w:rPr>
          <w:rFonts w:cs="Courier New"/>
          <w:sz w:val="24"/>
          <w:szCs w:val="24"/>
          <w:lang w:val="de-DE"/>
        </w:rPr>
        <w:t>50</w:t>
      </w:r>
    </w:p>
    <w:p w14:paraId="24BE4D10" w14:textId="5CDBF3C1" w:rsidR="0032671E" w:rsidRPr="00DB3907" w:rsidRDefault="00014E79" w:rsidP="0032671E">
      <w:pPr>
        <w:pStyle w:val="Header"/>
        <w:tabs>
          <w:tab w:val="left" w:pos="6521"/>
        </w:tabs>
        <w:rPr>
          <w:rFonts w:cs="Courier New"/>
          <w:sz w:val="24"/>
          <w:szCs w:val="24"/>
        </w:rPr>
      </w:pPr>
      <w:r>
        <w:rPr>
          <w:rFonts w:cs="Courier New"/>
          <w:sz w:val="24"/>
          <w:szCs w:val="24"/>
        </w:rPr>
        <w:t>February</w:t>
      </w:r>
      <w:r w:rsidR="0032671E">
        <w:rPr>
          <w:rFonts w:cs="Courier New"/>
          <w:sz w:val="24"/>
          <w:szCs w:val="24"/>
        </w:rPr>
        <w:t xml:space="preserve"> </w:t>
      </w:r>
      <w:r w:rsidR="004D7487">
        <w:rPr>
          <w:rFonts w:cs="Courier New"/>
          <w:sz w:val="24"/>
          <w:szCs w:val="24"/>
        </w:rPr>
        <w:t>1</w:t>
      </w:r>
      <w:r>
        <w:rPr>
          <w:rFonts w:cs="Courier New"/>
          <w:sz w:val="24"/>
          <w:szCs w:val="24"/>
        </w:rPr>
        <w:t>5</w:t>
      </w:r>
      <w:r w:rsidR="0032671E">
        <w:rPr>
          <w:rFonts w:cs="Courier New"/>
          <w:sz w:val="24"/>
          <w:szCs w:val="24"/>
          <w:vertAlign w:val="superscript"/>
        </w:rPr>
        <w: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CA09E7">
        <w:rPr>
          <w:rFonts w:cs="Courier New"/>
          <w:sz w:val="24"/>
          <w:szCs w:val="24"/>
        </w:rPr>
        <w:t>1</w:t>
      </w:r>
      <w:r>
        <w:rPr>
          <w:rFonts w:cs="Courier New"/>
          <w:sz w:val="24"/>
          <w:szCs w:val="24"/>
        </w:rPr>
        <w:t>9</w:t>
      </w:r>
      <w:r w:rsidR="00CA09E7">
        <w:rPr>
          <w:rFonts w:cs="Courier New"/>
          <w:sz w:val="24"/>
          <w:szCs w:val="24"/>
          <w:vertAlign w:val="superscript"/>
        </w:rPr>
        <w:t>th</w:t>
      </w:r>
      <w:r w:rsidR="0032671E">
        <w:rPr>
          <w:rFonts w:cs="Courier New"/>
          <w:sz w:val="24"/>
          <w:szCs w:val="24"/>
        </w:rPr>
        <w:t>, 201</w:t>
      </w:r>
      <w:r>
        <w:rPr>
          <w:rFonts w:cs="Courier New"/>
          <w:sz w:val="24"/>
          <w:szCs w:val="24"/>
        </w:rPr>
        <w:t>6</w:t>
      </w:r>
    </w:p>
    <w:p w14:paraId="339F240C" w14:textId="556FD62E" w:rsidR="0032671E" w:rsidRPr="00DB3907" w:rsidRDefault="00014E79" w:rsidP="0032671E">
      <w:pPr>
        <w:pStyle w:val="Header"/>
        <w:rPr>
          <w:rFonts w:cs="Courier New"/>
          <w:sz w:val="24"/>
          <w:szCs w:val="24"/>
        </w:rPr>
      </w:pPr>
      <w:r>
        <w:rPr>
          <w:rFonts w:cs="Courier New"/>
          <w:sz w:val="24"/>
          <w:szCs w:val="24"/>
        </w:rPr>
        <w:t>Malta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6154084A"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B6272">
        <w:rPr>
          <w:rFonts w:ascii="Arial" w:hAnsi="Arial"/>
          <w:sz w:val="24"/>
          <w:lang w:val="en-US"/>
        </w:rPr>
        <w:t>6</w:t>
      </w:r>
      <w:r w:rsidR="00CF2485">
        <w:rPr>
          <w:rFonts w:ascii="Arial" w:hAnsi="Arial"/>
          <w:sz w:val="24"/>
          <w:lang w:val="en-US"/>
        </w:rPr>
        <w:t>.13</w:t>
      </w:r>
      <w:r w:rsidR="00EB6272">
        <w:rPr>
          <w:rFonts w:ascii="Arial" w:hAnsi="Arial"/>
          <w:sz w:val="24"/>
          <w:lang w:val="en-US"/>
        </w:rPr>
        <w:t>.2</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7F89570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4D53">
        <w:rPr>
          <w:rFonts w:ascii="Arial" w:hAnsi="Arial"/>
          <w:sz w:val="24"/>
          <w:lang w:val="en-US"/>
        </w:rPr>
        <w:t xml:space="preserve">A possible approach to </w:t>
      </w:r>
      <w:r w:rsidR="006D0373">
        <w:rPr>
          <w:rFonts w:ascii="Arial" w:hAnsi="Arial"/>
          <w:sz w:val="24"/>
          <w:lang w:val="en-US"/>
        </w:rPr>
        <w:t xml:space="preserve">LBT </w:t>
      </w:r>
      <w:r w:rsidR="00B44D53">
        <w:rPr>
          <w:rFonts w:ascii="Arial" w:hAnsi="Arial"/>
          <w:sz w:val="24"/>
          <w:lang w:val="en-US"/>
        </w:rPr>
        <w:t>back-off test</w:t>
      </w:r>
      <w:r w:rsidR="006D0373">
        <w:rPr>
          <w:rFonts w:ascii="Arial" w:hAnsi="Arial"/>
          <w:sz w:val="24"/>
          <w:lang w:val="en-US"/>
        </w:rPr>
        <w:t xml:space="preserve"> for LAA</w:t>
      </w:r>
    </w:p>
    <w:p w14:paraId="54BEE060" w14:textId="65707D5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43456">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AFD5D8" w14:textId="1BA312A2" w:rsidR="00014E79" w:rsidRDefault="004713E5" w:rsidP="00582A1A">
      <w:pPr>
        <w:jc w:val="both"/>
      </w:pPr>
      <w:r>
        <w:t xml:space="preserve">During the </w:t>
      </w:r>
      <w:r w:rsidR="00014E79">
        <w:t xml:space="preserve">RAN4 meeting #77 in Anaheim, a way forward on coexistence tests for LAA was approved </w:t>
      </w:r>
      <w:r w:rsidR="00014E79">
        <w:fldChar w:fldCharType="begin"/>
      </w:r>
      <w:r w:rsidR="00014E79">
        <w:instrText xml:space="preserve"> REF _Ref442191279 \r \h </w:instrText>
      </w:r>
      <w:r w:rsidR="00014E79">
        <w:fldChar w:fldCharType="separate"/>
      </w:r>
      <w:r w:rsidR="005E5BEC">
        <w:t>[1]</w:t>
      </w:r>
      <w:r w:rsidR="00014E79">
        <w:fldChar w:fldCharType="end"/>
      </w:r>
      <w:r w:rsidR="00014E79">
        <w:t xml:space="preserve">. </w:t>
      </w:r>
      <w:r w:rsidR="00695A70">
        <w:t>A</w:t>
      </w:r>
      <w:r w:rsidR="00014E79">
        <w:t xml:space="preserve"> clear distinction between LBT tests and multi-node node tests was made, and </w:t>
      </w:r>
      <w:r>
        <w:t xml:space="preserve">a </w:t>
      </w:r>
      <w:r w:rsidR="00014E79">
        <w:t>time plan was agreed.</w:t>
      </w:r>
    </w:p>
    <w:p w14:paraId="4EA7D2C2" w14:textId="71AD6198" w:rsidR="00781440" w:rsidRDefault="00014E79" w:rsidP="0023565D">
      <w:pPr>
        <w:jc w:val="both"/>
      </w:pPr>
      <w:r>
        <w:t xml:space="preserve">In this contribution we address the LBT tests </w:t>
      </w:r>
      <w:r w:rsidR="00CE5DB0">
        <w:t xml:space="preserve">and </w:t>
      </w:r>
      <w:r>
        <w:t xml:space="preserve">we </w:t>
      </w:r>
      <w:r w:rsidR="00B44D53">
        <w:t xml:space="preserve">propose a possible approach for the definition of </w:t>
      </w:r>
      <w:r w:rsidR="004713E5">
        <w:t xml:space="preserve">the </w:t>
      </w:r>
      <w:r w:rsidR="00247A04">
        <w:t xml:space="preserve">LAA LBT back-off procedure test in </w:t>
      </w:r>
      <w:r>
        <w:t>TS 36.141.</w:t>
      </w:r>
    </w:p>
    <w:p w14:paraId="248613A6" w14:textId="77777777" w:rsidR="00582A1A" w:rsidRDefault="00582A1A" w:rsidP="0023565D">
      <w:pPr>
        <w:jc w:val="both"/>
      </w:pPr>
    </w:p>
    <w:p w14:paraId="67305E97" w14:textId="66C3ED11" w:rsidR="00781440" w:rsidRDefault="00781440" w:rsidP="00781440">
      <w:pPr>
        <w:pStyle w:val="Heading1"/>
        <w:tabs>
          <w:tab w:val="clear" w:pos="432"/>
          <w:tab w:val="num" w:pos="522"/>
        </w:tabs>
        <w:ind w:left="522" w:hanging="522"/>
        <w:rPr>
          <w:lang w:val="en-US"/>
        </w:rPr>
      </w:pPr>
      <w:r>
        <w:rPr>
          <w:lang w:val="en-US"/>
        </w:rPr>
        <w:t xml:space="preserve">LBT </w:t>
      </w:r>
      <w:r w:rsidR="00014E79">
        <w:rPr>
          <w:lang w:val="en-US"/>
        </w:rPr>
        <w:t>tests</w:t>
      </w:r>
    </w:p>
    <w:p w14:paraId="3ECC8EF0" w14:textId="47C919CF" w:rsidR="00014E79" w:rsidRDefault="00014E79" w:rsidP="00014E79">
      <w:pPr>
        <w:jc w:val="both"/>
      </w:pPr>
      <w:r>
        <w:t xml:space="preserve">In this contribution we focus on LBT test since this is the first priority as agreed in </w:t>
      </w:r>
      <w:r>
        <w:fldChar w:fldCharType="begin"/>
      </w:r>
      <w:r>
        <w:instrText xml:space="preserve"> REF _Ref442191279 \r \h </w:instrText>
      </w:r>
      <w:r>
        <w:fldChar w:fldCharType="separate"/>
      </w:r>
      <w:r w:rsidR="005E5BEC">
        <w:t>[1]</w:t>
      </w:r>
      <w:r>
        <w:fldChar w:fldCharType="end"/>
      </w:r>
      <w:r>
        <w:t>. Because Rel13 LAA only allows DL transmission in Band 46, the proposed methodology only applies to Base Station</w:t>
      </w:r>
      <w:r w:rsidR="007E4B1F">
        <w:t xml:space="preserve"> specifications</w:t>
      </w:r>
      <w:r>
        <w:t>, i.e. to TS 36.141.</w:t>
      </w:r>
    </w:p>
    <w:p w14:paraId="28650370" w14:textId="578AEA98" w:rsidR="00781440" w:rsidRDefault="00014E79" w:rsidP="00781440">
      <w:pPr>
        <w:jc w:val="both"/>
      </w:pPr>
      <w:r>
        <w:t>I</w:t>
      </w:r>
      <w:r w:rsidR="00781440">
        <w:t xml:space="preserve">n </w:t>
      </w:r>
      <w:r w:rsidR="00953DE7">
        <w:fldChar w:fldCharType="begin"/>
      </w:r>
      <w:r w:rsidR="00953DE7">
        <w:instrText xml:space="preserve"> REF _Ref431561873 \r \h </w:instrText>
      </w:r>
      <w:r w:rsidR="00953DE7">
        <w:fldChar w:fldCharType="separate"/>
      </w:r>
      <w:r w:rsidR="005E5BEC">
        <w:t>[4]</w:t>
      </w:r>
      <w:r w:rsidR="00953DE7">
        <w:fldChar w:fldCharType="end"/>
      </w:r>
      <w:r w:rsidR="00781440">
        <w:t xml:space="preserve">, </w:t>
      </w:r>
      <w:r>
        <w:t>we clarified the two essential elements that LBT tests need to cover:</w:t>
      </w:r>
      <w:r w:rsidR="00781440">
        <w:t xml:space="preserve"> </w:t>
      </w:r>
    </w:p>
    <w:p w14:paraId="4641A06D" w14:textId="252140F0" w:rsidR="00781440" w:rsidRPr="006D143A" w:rsidRDefault="00014E79" w:rsidP="00781440">
      <w:pPr>
        <w:pStyle w:val="ListParagraph"/>
        <w:numPr>
          <w:ilvl w:val="0"/>
          <w:numId w:val="23"/>
        </w:numPr>
        <w:jc w:val="both"/>
        <w:rPr>
          <w:b/>
          <w:i/>
        </w:rPr>
      </w:pPr>
      <w:r>
        <w:t>the</w:t>
      </w:r>
      <w:r w:rsidR="00781440">
        <w:t xml:space="preserve"> channel sensing procedure in which the channel will be declared free or busy based on an energy detection threshold</w:t>
      </w:r>
    </w:p>
    <w:p w14:paraId="5EB4588A" w14:textId="23695FC0" w:rsidR="00781440" w:rsidRPr="006D143A" w:rsidRDefault="00014E79" w:rsidP="00781440">
      <w:pPr>
        <w:pStyle w:val="ListParagraph"/>
        <w:numPr>
          <w:ilvl w:val="0"/>
          <w:numId w:val="23"/>
        </w:numPr>
        <w:jc w:val="both"/>
        <w:rPr>
          <w:b/>
          <w:i/>
        </w:rPr>
      </w:pPr>
      <w:r>
        <w:t>the</w:t>
      </w:r>
      <w:r w:rsidR="00781440">
        <w:t xml:space="preserve"> back-off mechanism which will be used to postpone the transmission when the channel is detected to be busy</w:t>
      </w:r>
    </w:p>
    <w:p w14:paraId="726B0ED2" w14:textId="62B893DF" w:rsidR="00781440" w:rsidRDefault="00164879" w:rsidP="0023565D">
      <w:pPr>
        <w:jc w:val="both"/>
      </w:pPr>
      <w:r>
        <w:t xml:space="preserve">In the following subsection, we provide detailed proposal for the </w:t>
      </w:r>
      <w:r w:rsidR="00843456">
        <w:t xml:space="preserve">back-off mechanism </w:t>
      </w:r>
      <w:r w:rsidR="007E4B1F">
        <w:t>test</w:t>
      </w:r>
      <w:r>
        <w:t>.</w:t>
      </w:r>
      <w:r w:rsidR="00040B11">
        <w:t xml:space="preserve"> </w:t>
      </w:r>
    </w:p>
    <w:p w14:paraId="038B8FAF" w14:textId="0DD4E20F" w:rsidR="00164879" w:rsidRDefault="00164879" w:rsidP="009A6DE2">
      <w:pPr>
        <w:pStyle w:val="Heading2"/>
        <w:rPr>
          <w:lang w:val="en-US"/>
        </w:rPr>
      </w:pPr>
      <w:r>
        <w:rPr>
          <w:lang w:val="en-US"/>
        </w:rPr>
        <w:t xml:space="preserve">LBT </w:t>
      </w:r>
      <w:r w:rsidR="00B44D53">
        <w:rPr>
          <w:lang w:val="en-US"/>
        </w:rPr>
        <w:t>back-off procedure test</w:t>
      </w:r>
    </w:p>
    <w:p w14:paraId="026F0D83" w14:textId="29485562" w:rsidR="0064345C" w:rsidRDefault="00CE5DB0" w:rsidP="00B44D53">
      <w:pPr>
        <w:jc w:val="both"/>
      </w:pPr>
      <w:r>
        <w:t xml:space="preserve">The goal of this contribution is to </w:t>
      </w:r>
      <w:r w:rsidR="00B44D53">
        <w:t>provide general gu</w:t>
      </w:r>
      <w:r w:rsidR="00843456">
        <w:t xml:space="preserve">idelines on how </w:t>
      </w:r>
      <w:r w:rsidR="00D26DB8">
        <w:t xml:space="preserve">a back-off </w:t>
      </w:r>
      <w:r w:rsidR="00843456">
        <w:t>test could be d</w:t>
      </w:r>
      <w:r w:rsidR="00B44D53">
        <w:t xml:space="preserve">efined. The test equipment </w:t>
      </w:r>
      <w:r w:rsidR="00AB43E3">
        <w:t xml:space="preserve">(TE) </w:t>
      </w:r>
      <w:r w:rsidR="00B44D53">
        <w:t xml:space="preserve">needs to be able to inject a specific input pattern </w:t>
      </w:r>
      <w:r w:rsidR="00D26DB8">
        <w:t xml:space="preserve">into the channel, </w:t>
      </w:r>
      <w:r w:rsidR="00B44D53">
        <w:t>which will trigger adaptation of the contention window</w:t>
      </w:r>
      <w:r w:rsidR="00D26DB8">
        <w:t xml:space="preserve"> at the DUT</w:t>
      </w:r>
      <w:r w:rsidR="0064345C">
        <w:t>,</w:t>
      </w:r>
      <w:r w:rsidR="00D26DB8">
        <w:t xml:space="preserve"> based on ACK/NACK information </w:t>
      </w:r>
      <w:r w:rsidR="0064345C">
        <w:t xml:space="preserve">received </w:t>
      </w:r>
      <w:r w:rsidR="00D26DB8">
        <w:t>from the testbed UE</w:t>
      </w:r>
      <w:r w:rsidR="00B44D53">
        <w:t>. Since the CW size</w:t>
      </w:r>
      <w:r w:rsidR="002051C5">
        <w:t xml:space="preserve"> at</w:t>
      </w:r>
      <w:r w:rsidR="004713E5">
        <w:t xml:space="preserve"> the DUT</w:t>
      </w:r>
      <w:r w:rsidR="00B44D53">
        <w:t xml:space="preserve"> will likely not be accessible to the test equipment and the number of back-off slots will be randomly selected, the test will necessarily involve the test equipment to record channel access statistics and verify that the observed metrics are within the specified range.</w:t>
      </w:r>
    </w:p>
    <w:p w14:paraId="0AEB41BE" w14:textId="32FB3DDF" w:rsidR="0064345C" w:rsidRDefault="0064345C" w:rsidP="0064345C">
      <w:pPr>
        <w:jc w:val="both"/>
      </w:pPr>
      <w:r>
        <w:t xml:space="preserve">A first observation is that there is a direct relationship between the average idle time between transmissions on the channel and the number of full buffer nodes that </w:t>
      </w:r>
      <w:r w:rsidR="00CE5DB0">
        <w:t>interact above Energy Detection (ED) threshold in the network</w:t>
      </w:r>
      <w:r>
        <w:t>. This observation can be used in the reverse by having the TE operate at a fixed CW, to emulate an average gap and therefore the presence of a certain number of full buffer nodes.</w:t>
      </w:r>
      <w:r w:rsidR="00DC5AD4">
        <w:t xml:space="preserve"> A fixed CW can for example be realized by setting </w:t>
      </w:r>
      <w:proofErr w:type="spellStart"/>
      <w:r w:rsidR="00DC5AD4">
        <w:t>CWmin</w:t>
      </w:r>
      <w:proofErr w:type="spellEnd"/>
      <w:r w:rsidR="00DC5AD4">
        <w:t xml:space="preserve"> = </w:t>
      </w:r>
      <w:proofErr w:type="spellStart"/>
      <w:r w:rsidR="00DC5AD4">
        <w:t>CWmax</w:t>
      </w:r>
      <w:proofErr w:type="spellEnd"/>
      <w:r w:rsidR="00DC5AD4">
        <w:t xml:space="preserve"> = CW at the TE.</w:t>
      </w:r>
      <w:r>
        <w:t xml:space="preserve"> An exemplary relation between the CW at the TE and the </w:t>
      </w:r>
      <w:r w:rsidR="00DC5AD4">
        <w:t xml:space="preserve">emulated number of full buffer nodes is shown in </w:t>
      </w:r>
      <w:r w:rsidR="00DC5AD4">
        <w:fldChar w:fldCharType="begin"/>
      </w:r>
      <w:r w:rsidR="00DC5AD4">
        <w:instrText xml:space="preserve"> REF _Ref316309196 \h </w:instrText>
      </w:r>
      <w:r w:rsidR="00DC5AD4">
        <w:fldChar w:fldCharType="separate"/>
      </w:r>
      <w:r w:rsidR="005E5BEC">
        <w:t xml:space="preserve">Table </w:t>
      </w:r>
      <w:r w:rsidR="005E5BEC">
        <w:rPr>
          <w:noProof/>
        </w:rPr>
        <w:t>1</w:t>
      </w:r>
      <w:r w:rsidR="00DC5AD4">
        <w:fldChar w:fldCharType="end"/>
      </w:r>
      <w:r w:rsidR="00DC5AD4">
        <w:t>.</w:t>
      </w:r>
    </w:p>
    <w:p w14:paraId="15E4CD9E" w14:textId="61DA388C" w:rsidR="00DC5AD4" w:rsidRDefault="00DC5AD4" w:rsidP="00DC5AD4">
      <w:pPr>
        <w:pStyle w:val="Caption"/>
        <w:keepNext/>
        <w:jc w:val="center"/>
      </w:pPr>
      <w:bookmarkStart w:id="1" w:name="_Ref316309196"/>
      <w:bookmarkStart w:id="2" w:name="_Ref442717659"/>
      <w:r>
        <w:t xml:space="preserve">Table </w:t>
      </w:r>
      <w:r>
        <w:fldChar w:fldCharType="begin"/>
      </w:r>
      <w:r>
        <w:instrText xml:space="preserve"> SEQ Table \* ARABIC </w:instrText>
      </w:r>
      <w:r>
        <w:fldChar w:fldCharType="separate"/>
      </w:r>
      <w:r w:rsidR="005E5BEC">
        <w:rPr>
          <w:noProof/>
        </w:rPr>
        <w:t>1</w:t>
      </w:r>
      <w:r>
        <w:fldChar w:fldCharType="end"/>
      </w:r>
      <w:bookmarkEnd w:id="1"/>
      <w:r>
        <w:t xml:space="preserve">. </w:t>
      </w:r>
      <w:r w:rsidR="00297DF0">
        <w:t>Exa</w:t>
      </w:r>
      <w:r w:rsidR="004277C8">
        <w:t>mple r</w:t>
      </w:r>
      <w:r>
        <w:t xml:space="preserve">elationship between </w:t>
      </w:r>
      <w:r w:rsidR="004277C8">
        <w:t xml:space="preserve">the </w:t>
      </w:r>
      <w:r>
        <w:t xml:space="preserve">selected CW at the TE and </w:t>
      </w:r>
      <w:r w:rsidR="00293B39">
        <w:t>the emulated number of full buffer nodes</w:t>
      </w:r>
      <w:r>
        <w:t>.</w:t>
      </w:r>
      <w:bookmarkEnd w:id="2"/>
    </w:p>
    <w:tbl>
      <w:tblPr>
        <w:tblW w:w="3533" w:type="dxa"/>
        <w:jc w:val="center"/>
        <w:tblLook w:val="04A0" w:firstRow="1" w:lastRow="0" w:firstColumn="1" w:lastColumn="0" w:noHBand="0" w:noVBand="1"/>
      </w:tblPr>
      <w:tblGrid>
        <w:gridCol w:w="1500"/>
        <w:gridCol w:w="2033"/>
      </w:tblGrid>
      <w:tr w:rsidR="00DC5AD4" w:rsidRPr="00EB2DE4" w14:paraId="602B5AD0" w14:textId="77777777" w:rsidTr="00DC5AD4">
        <w:trPr>
          <w:trHeight w:val="736"/>
          <w:jc w:val="center"/>
        </w:trPr>
        <w:tc>
          <w:tcPr>
            <w:tcW w:w="1500" w:type="dxa"/>
            <w:tcBorders>
              <w:top w:val="single" w:sz="8" w:space="0" w:color="auto"/>
              <w:left w:val="single" w:sz="8" w:space="0" w:color="auto"/>
              <w:bottom w:val="single" w:sz="8" w:space="0" w:color="auto"/>
              <w:right w:val="nil"/>
            </w:tcBorders>
            <w:shd w:val="clear" w:color="auto" w:fill="auto"/>
            <w:noWrap/>
            <w:vAlign w:val="center"/>
            <w:hideMark/>
          </w:tcPr>
          <w:p w14:paraId="05B0E15F" w14:textId="33D2F8B7" w:rsidR="00DC5AD4" w:rsidRPr="00EB2DE4" w:rsidRDefault="00DC5AD4" w:rsidP="00DC5AD4">
            <w:pPr>
              <w:spacing w:after="0"/>
              <w:jc w:val="center"/>
              <w:rPr>
                <w:rFonts w:ascii="Calibri" w:hAnsi="Calibri"/>
                <w:b/>
                <w:bCs/>
                <w:color w:val="000000"/>
                <w:sz w:val="22"/>
                <w:szCs w:val="22"/>
                <w:lang w:val="en-US"/>
              </w:rPr>
            </w:pPr>
            <w:r w:rsidRPr="00EB2DE4">
              <w:rPr>
                <w:rFonts w:ascii="Calibri" w:hAnsi="Calibri"/>
                <w:b/>
                <w:bCs/>
                <w:color w:val="000000"/>
                <w:sz w:val="22"/>
                <w:szCs w:val="22"/>
                <w:lang w:val="en-US"/>
              </w:rPr>
              <w:t>Selected CW</w:t>
            </w:r>
            <w:r>
              <w:rPr>
                <w:rFonts w:ascii="Calibri" w:hAnsi="Calibri"/>
                <w:b/>
                <w:bCs/>
                <w:color w:val="000000"/>
                <w:sz w:val="22"/>
                <w:szCs w:val="22"/>
                <w:lang w:val="en-US"/>
              </w:rPr>
              <w:t xml:space="preserve"> at the TE</w:t>
            </w:r>
          </w:p>
        </w:tc>
        <w:tc>
          <w:tcPr>
            <w:tcW w:w="20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C2AB1D" w14:textId="3F9C5075" w:rsidR="00DC5AD4" w:rsidRPr="00EB2DE4" w:rsidRDefault="00DC5AD4" w:rsidP="00DC5AD4">
            <w:pPr>
              <w:spacing w:after="0"/>
              <w:jc w:val="center"/>
              <w:rPr>
                <w:rFonts w:ascii="Calibri" w:hAnsi="Calibri"/>
                <w:b/>
                <w:bCs/>
                <w:color w:val="000000"/>
                <w:sz w:val="22"/>
                <w:szCs w:val="22"/>
                <w:lang w:val="en-US"/>
              </w:rPr>
            </w:pPr>
            <w:r>
              <w:rPr>
                <w:rFonts w:ascii="Calibri" w:hAnsi="Calibri"/>
                <w:b/>
                <w:bCs/>
                <w:color w:val="000000"/>
                <w:sz w:val="22"/>
                <w:szCs w:val="22"/>
                <w:lang w:val="en-US"/>
              </w:rPr>
              <w:t>Emulated number of full buffer nodes</w:t>
            </w:r>
          </w:p>
        </w:tc>
      </w:tr>
      <w:tr w:rsidR="00DC5AD4" w:rsidRPr="00EB2DE4" w14:paraId="2E8EB5EA" w14:textId="77777777" w:rsidTr="00DC5AD4">
        <w:trPr>
          <w:trHeight w:val="288"/>
          <w:jc w:val="center"/>
        </w:trPr>
        <w:tc>
          <w:tcPr>
            <w:tcW w:w="1500" w:type="dxa"/>
            <w:tcBorders>
              <w:top w:val="nil"/>
              <w:left w:val="single" w:sz="8" w:space="0" w:color="auto"/>
              <w:bottom w:val="nil"/>
              <w:right w:val="nil"/>
            </w:tcBorders>
            <w:shd w:val="clear" w:color="auto" w:fill="auto"/>
            <w:noWrap/>
            <w:vAlign w:val="bottom"/>
            <w:hideMark/>
          </w:tcPr>
          <w:p w14:paraId="7A47D153" w14:textId="77777777" w:rsidR="00DC5AD4" w:rsidRPr="00EB2DE4" w:rsidRDefault="00DC5AD4" w:rsidP="00AD6431">
            <w:pPr>
              <w:spacing w:after="0"/>
              <w:jc w:val="center"/>
              <w:rPr>
                <w:rFonts w:ascii="Calibri" w:hAnsi="Calibri"/>
                <w:color w:val="000000"/>
                <w:sz w:val="22"/>
                <w:szCs w:val="22"/>
                <w:lang w:val="en-US"/>
              </w:rPr>
            </w:pPr>
            <w:r w:rsidRPr="00EB2DE4">
              <w:rPr>
                <w:rFonts w:ascii="Calibri" w:hAnsi="Calibri"/>
                <w:color w:val="000000"/>
                <w:sz w:val="22"/>
                <w:szCs w:val="22"/>
                <w:lang w:val="en-US"/>
              </w:rPr>
              <w:t>3</w:t>
            </w:r>
          </w:p>
        </w:tc>
        <w:tc>
          <w:tcPr>
            <w:tcW w:w="2033" w:type="dxa"/>
            <w:tcBorders>
              <w:top w:val="nil"/>
              <w:left w:val="single" w:sz="4" w:space="0" w:color="auto"/>
              <w:bottom w:val="nil"/>
              <w:right w:val="single" w:sz="8" w:space="0" w:color="auto"/>
            </w:tcBorders>
            <w:shd w:val="clear" w:color="auto" w:fill="auto"/>
            <w:noWrap/>
            <w:vAlign w:val="bottom"/>
            <w:hideMark/>
          </w:tcPr>
          <w:p w14:paraId="30364F58" w14:textId="33C362B4" w:rsidR="00DC5AD4" w:rsidRPr="00EB2DE4" w:rsidRDefault="00C11882" w:rsidP="00AD6431">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DC5AD4" w:rsidRPr="00EB2DE4" w14:paraId="65A8D0FD" w14:textId="77777777" w:rsidTr="00DC5AD4">
        <w:trPr>
          <w:trHeight w:val="288"/>
          <w:jc w:val="center"/>
        </w:trPr>
        <w:tc>
          <w:tcPr>
            <w:tcW w:w="1500" w:type="dxa"/>
            <w:tcBorders>
              <w:top w:val="nil"/>
              <w:left w:val="single" w:sz="8" w:space="0" w:color="auto"/>
              <w:bottom w:val="nil"/>
              <w:right w:val="nil"/>
            </w:tcBorders>
            <w:shd w:val="clear" w:color="auto" w:fill="auto"/>
            <w:noWrap/>
            <w:vAlign w:val="bottom"/>
            <w:hideMark/>
          </w:tcPr>
          <w:p w14:paraId="33E5AEC5" w14:textId="45A9F4C9" w:rsidR="00DC5AD4" w:rsidRPr="00EB2DE4" w:rsidRDefault="004277C8" w:rsidP="00AD6431">
            <w:pPr>
              <w:spacing w:after="0"/>
              <w:jc w:val="center"/>
              <w:rPr>
                <w:rFonts w:ascii="Calibri" w:hAnsi="Calibri"/>
                <w:color w:val="000000"/>
                <w:sz w:val="22"/>
                <w:szCs w:val="22"/>
                <w:lang w:val="en-US"/>
              </w:rPr>
            </w:pPr>
            <w:r>
              <w:rPr>
                <w:rFonts w:ascii="Calibri" w:hAnsi="Calibri"/>
                <w:color w:val="000000"/>
                <w:sz w:val="22"/>
                <w:szCs w:val="22"/>
                <w:lang w:val="en-US"/>
              </w:rPr>
              <w:t>7</w:t>
            </w:r>
          </w:p>
        </w:tc>
        <w:tc>
          <w:tcPr>
            <w:tcW w:w="2033" w:type="dxa"/>
            <w:tcBorders>
              <w:top w:val="nil"/>
              <w:left w:val="single" w:sz="4" w:space="0" w:color="auto"/>
              <w:bottom w:val="nil"/>
              <w:right w:val="single" w:sz="8" w:space="0" w:color="auto"/>
            </w:tcBorders>
            <w:shd w:val="clear" w:color="auto" w:fill="auto"/>
            <w:noWrap/>
            <w:vAlign w:val="bottom"/>
            <w:hideMark/>
          </w:tcPr>
          <w:p w14:paraId="0D6E9077" w14:textId="2ACE095E" w:rsidR="00DC5AD4" w:rsidRPr="00EB2DE4" w:rsidRDefault="00C11882" w:rsidP="00AD6431">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890C20" w:rsidRPr="00EB2DE4" w14:paraId="0F25BBB4" w14:textId="77777777" w:rsidTr="00890C20">
        <w:trPr>
          <w:trHeight w:val="288"/>
          <w:jc w:val="center"/>
        </w:trPr>
        <w:tc>
          <w:tcPr>
            <w:tcW w:w="1500" w:type="dxa"/>
            <w:tcBorders>
              <w:top w:val="nil"/>
              <w:left w:val="single" w:sz="8" w:space="0" w:color="auto"/>
              <w:bottom w:val="nil"/>
              <w:right w:val="nil"/>
            </w:tcBorders>
            <w:shd w:val="clear" w:color="auto" w:fill="auto"/>
            <w:noWrap/>
            <w:vAlign w:val="bottom"/>
            <w:hideMark/>
          </w:tcPr>
          <w:p w14:paraId="3E04C301" w14:textId="36EA4360" w:rsidR="00890C20" w:rsidRPr="00EB2DE4" w:rsidRDefault="00890C20" w:rsidP="00890C20">
            <w:pPr>
              <w:spacing w:after="0"/>
              <w:jc w:val="center"/>
              <w:rPr>
                <w:rFonts w:ascii="Calibri" w:hAnsi="Calibri"/>
                <w:color w:val="000000"/>
                <w:sz w:val="22"/>
                <w:szCs w:val="22"/>
                <w:lang w:val="en-US"/>
              </w:rPr>
            </w:pPr>
            <w:r>
              <w:rPr>
                <w:rFonts w:ascii="Calibri" w:hAnsi="Calibri"/>
                <w:color w:val="000000"/>
                <w:sz w:val="22"/>
                <w:szCs w:val="22"/>
                <w:lang w:val="en-US"/>
              </w:rPr>
              <w:t>15</w:t>
            </w:r>
          </w:p>
        </w:tc>
        <w:tc>
          <w:tcPr>
            <w:tcW w:w="2033" w:type="dxa"/>
            <w:tcBorders>
              <w:top w:val="nil"/>
              <w:left w:val="single" w:sz="4" w:space="0" w:color="auto"/>
              <w:bottom w:val="nil"/>
              <w:right w:val="single" w:sz="8" w:space="0" w:color="auto"/>
            </w:tcBorders>
            <w:shd w:val="clear" w:color="auto" w:fill="auto"/>
            <w:noWrap/>
            <w:vAlign w:val="bottom"/>
            <w:hideMark/>
          </w:tcPr>
          <w:p w14:paraId="57B9D4CE" w14:textId="11C10920" w:rsidR="00890C20" w:rsidRPr="00EB2DE4" w:rsidRDefault="00C11882" w:rsidP="00890C20">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DC5AD4" w:rsidRPr="00EB2DE4" w14:paraId="41EF4730" w14:textId="77777777" w:rsidTr="00017B87">
        <w:trPr>
          <w:trHeight w:val="300"/>
          <w:jc w:val="center"/>
        </w:trPr>
        <w:tc>
          <w:tcPr>
            <w:tcW w:w="1500" w:type="dxa"/>
            <w:tcBorders>
              <w:top w:val="nil"/>
              <w:left w:val="single" w:sz="8" w:space="0" w:color="auto"/>
              <w:bottom w:val="nil"/>
              <w:right w:val="nil"/>
            </w:tcBorders>
            <w:shd w:val="clear" w:color="auto" w:fill="auto"/>
            <w:noWrap/>
            <w:vAlign w:val="bottom"/>
            <w:hideMark/>
          </w:tcPr>
          <w:p w14:paraId="71930862" w14:textId="2072A009" w:rsidR="00DC5AD4" w:rsidRPr="00EB2DE4" w:rsidRDefault="004277C8" w:rsidP="00DC5AD4">
            <w:pPr>
              <w:spacing w:after="0"/>
              <w:jc w:val="center"/>
              <w:rPr>
                <w:rFonts w:ascii="Calibri" w:hAnsi="Calibri"/>
                <w:color w:val="000000"/>
                <w:sz w:val="22"/>
                <w:szCs w:val="22"/>
                <w:lang w:val="en-US"/>
              </w:rPr>
            </w:pPr>
            <w:r>
              <w:rPr>
                <w:rFonts w:ascii="Calibri" w:hAnsi="Calibri"/>
                <w:color w:val="000000"/>
                <w:sz w:val="22"/>
                <w:szCs w:val="22"/>
                <w:lang w:val="en-US"/>
              </w:rPr>
              <w:lastRenderedPageBreak/>
              <w:t>1</w:t>
            </w:r>
            <w:r w:rsidR="005733B9">
              <w:rPr>
                <w:rFonts w:ascii="Calibri" w:hAnsi="Calibri"/>
                <w:color w:val="000000"/>
                <w:sz w:val="22"/>
                <w:szCs w:val="22"/>
                <w:lang w:val="en-US"/>
              </w:rPr>
              <w:t>7</w:t>
            </w:r>
          </w:p>
        </w:tc>
        <w:tc>
          <w:tcPr>
            <w:tcW w:w="2033" w:type="dxa"/>
            <w:tcBorders>
              <w:top w:val="nil"/>
              <w:left w:val="single" w:sz="4" w:space="0" w:color="auto"/>
              <w:bottom w:val="nil"/>
              <w:right w:val="single" w:sz="8" w:space="0" w:color="auto"/>
            </w:tcBorders>
            <w:shd w:val="clear" w:color="auto" w:fill="auto"/>
            <w:noWrap/>
            <w:vAlign w:val="bottom"/>
            <w:hideMark/>
          </w:tcPr>
          <w:p w14:paraId="30B59A5A" w14:textId="639A529E" w:rsidR="00DC5AD4" w:rsidRPr="00EB2DE4" w:rsidRDefault="00C11882" w:rsidP="00DC5AD4">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017B87" w:rsidRPr="00EB2DE4" w14:paraId="54B3CC29" w14:textId="77777777" w:rsidTr="00DC5AD4">
        <w:trPr>
          <w:trHeight w:val="300"/>
          <w:jc w:val="center"/>
        </w:trPr>
        <w:tc>
          <w:tcPr>
            <w:tcW w:w="1500" w:type="dxa"/>
            <w:tcBorders>
              <w:top w:val="nil"/>
              <w:left w:val="single" w:sz="8" w:space="0" w:color="auto"/>
              <w:bottom w:val="single" w:sz="8" w:space="0" w:color="auto"/>
              <w:right w:val="nil"/>
            </w:tcBorders>
            <w:shd w:val="clear" w:color="auto" w:fill="auto"/>
            <w:noWrap/>
            <w:vAlign w:val="bottom"/>
          </w:tcPr>
          <w:p w14:paraId="75451615" w14:textId="1892FDFF" w:rsidR="00017B87" w:rsidRDefault="00017B87" w:rsidP="00DC5AD4">
            <w:pPr>
              <w:spacing w:after="0"/>
              <w:jc w:val="center"/>
              <w:rPr>
                <w:rFonts w:ascii="Calibri" w:hAnsi="Calibri"/>
                <w:color w:val="000000"/>
                <w:sz w:val="22"/>
                <w:szCs w:val="22"/>
                <w:lang w:val="en-US"/>
              </w:rPr>
            </w:pPr>
            <w:r>
              <w:rPr>
                <w:rFonts w:ascii="Calibri" w:hAnsi="Calibri"/>
                <w:color w:val="000000"/>
                <w:sz w:val="22"/>
                <w:szCs w:val="22"/>
                <w:lang w:val="en-US"/>
              </w:rPr>
              <w:t>…</w:t>
            </w:r>
          </w:p>
        </w:tc>
        <w:tc>
          <w:tcPr>
            <w:tcW w:w="2033" w:type="dxa"/>
            <w:tcBorders>
              <w:top w:val="nil"/>
              <w:left w:val="single" w:sz="4" w:space="0" w:color="auto"/>
              <w:bottom w:val="single" w:sz="8" w:space="0" w:color="auto"/>
              <w:right w:val="single" w:sz="8" w:space="0" w:color="auto"/>
            </w:tcBorders>
            <w:shd w:val="clear" w:color="auto" w:fill="auto"/>
            <w:noWrap/>
            <w:vAlign w:val="bottom"/>
          </w:tcPr>
          <w:p w14:paraId="766D2866" w14:textId="71955017" w:rsidR="00017B87" w:rsidRDefault="00017B87" w:rsidP="00DC5AD4">
            <w:pPr>
              <w:spacing w:after="0"/>
              <w:jc w:val="center"/>
              <w:rPr>
                <w:rFonts w:ascii="Calibri" w:hAnsi="Calibri"/>
                <w:color w:val="000000"/>
                <w:sz w:val="22"/>
                <w:szCs w:val="22"/>
                <w:lang w:val="en-US"/>
              </w:rPr>
            </w:pPr>
            <w:r>
              <w:rPr>
                <w:rFonts w:ascii="Calibri" w:hAnsi="Calibri"/>
                <w:color w:val="000000"/>
                <w:sz w:val="22"/>
                <w:szCs w:val="22"/>
                <w:lang w:val="en-US"/>
              </w:rPr>
              <w:t>…</w:t>
            </w:r>
          </w:p>
        </w:tc>
      </w:tr>
    </w:tbl>
    <w:p w14:paraId="317171BA" w14:textId="77777777" w:rsidR="00DC5AD4" w:rsidRDefault="00DC5AD4" w:rsidP="00B44D53">
      <w:pPr>
        <w:jc w:val="both"/>
      </w:pPr>
    </w:p>
    <w:p w14:paraId="1040BCF5" w14:textId="3F2F1BE0" w:rsidR="004277C8" w:rsidRDefault="00DC5AD4" w:rsidP="00B44D53">
      <w:pPr>
        <w:jc w:val="both"/>
      </w:pPr>
      <w:r>
        <w:t>A second observation is that there is also a known relation between each selected CW at the TE and the average number of times the back</w:t>
      </w:r>
      <w:r w:rsidR="00CE5DB0">
        <w:t>-</w:t>
      </w:r>
      <w:r>
        <w:t>off at the TE is interrupted by a transmission by the DUT (</w:t>
      </w:r>
      <w:r w:rsidR="004277C8">
        <w:t xml:space="preserve">that is, </w:t>
      </w:r>
      <w:r>
        <w:t xml:space="preserve">when the DUT indeed implements the </w:t>
      </w:r>
      <w:r w:rsidR="004277C8">
        <w:t>right</w:t>
      </w:r>
      <w:r>
        <w:t xml:space="preserve"> CW update procedure). An example relationship between the selected CW at the TE and the average </w:t>
      </w:r>
      <w:r w:rsidR="004277C8">
        <w:t xml:space="preserve">number of </w:t>
      </w:r>
      <w:r>
        <w:t>back</w:t>
      </w:r>
      <w:r w:rsidR="00CE5DB0">
        <w:t>-</w:t>
      </w:r>
      <w:r>
        <w:t>off interr</w:t>
      </w:r>
      <w:r w:rsidR="004277C8">
        <w:t xml:space="preserve">uptions (BI) at the TE is shown in </w:t>
      </w:r>
      <w:r w:rsidR="00056734">
        <w:fldChar w:fldCharType="begin"/>
      </w:r>
      <w:r w:rsidR="00056734">
        <w:instrText xml:space="preserve"> REF _Ref316310130 \h </w:instrText>
      </w:r>
      <w:r w:rsidR="00056734">
        <w:fldChar w:fldCharType="separate"/>
      </w:r>
      <w:r w:rsidR="005E5BEC">
        <w:t xml:space="preserve">Table </w:t>
      </w:r>
      <w:r w:rsidR="005E5BEC">
        <w:rPr>
          <w:noProof/>
        </w:rPr>
        <w:t>2</w:t>
      </w:r>
      <w:r w:rsidR="00056734">
        <w:fldChar w:fldCharType="end"/>
      </w:r>
      <w:r w:rsidR="004277C8">
        <w:t>.</w:t>
      </w:r>
    </w:p>
    <w:p w14:paraId="273CE985" w14:textId="30BA5548" w:rsidR="004277C8" w:rsidRDefault="004277C8" w:rsidP="00056734">
      <w:pPr>
        <w:pStyle w:val="Caption"/>
        <w:keepNext/>
        <w:jc w:val="center"/>
      </w:pPr>
      <w:bookmarkStart w:id="3" w:name="_Ref316310130"/>
      <w:bookmarkStart w:id="4" w:name="_Ref316310126"/>
      <w:r>
        <w:t xml:space="preserve">Table </w:t>
      </w:r>
      <w:r>
        <w:fldChar w:fldCharType="begin"/>
      </w:r>
      <w:r>
        <w:instrText xml:space="preserve"> SEQ Table \* ARABIC </w:instrText>
      </w:r>
      <w:r>
        <w:fldChar w:fldCharType="separate"/>
      </w:r>
      <w:r w:rsidR="005E5BEC">
        <w:rPr>
          <w:noProof/>
        </w:rPr>
        <w:t>2</w:t>
      </w:r>
      <w:r>
        <w:fldChar w:fldCharType="end"/>
      </w:r>
      <w:bookmarkEnd w:id="3"/>
      <w:r>
        <w:t xml:space="preserve">. Relationship between selected </w:t>
      </w:r>
      <w:r w:rsidRPr="00056734">
        <w:t>CW</w:t>
      </w:r>
      <w:r>
        <w:t xml:space="preserve"> at the TE and expected BI when connected to the DUT.</w:t>
      </w:r>
      <w:bookmarkEnd w:id="4"/>
    </w:p>
    <w:tbl>
      <w:tblPr>
        <w:tblW w:w="3533" w:type="dxa"/>
        <w:jc w:val="center"/>
        <w:tblLook w:val="04A0" w:firstRow="1" w:lastRow="0" w:firstColumn="1" w:lastColumn="0" w:noHBand="0" w:noVBand="1"/>
      </w:tblPr>
      <w:tblGrid>
        <w:gridCol w:w="1500"/>
        <w:gridCol w:w="2033"/>
      </w:tblGrid>
      <w:tr w:rsidR="004277C8" w:rsidRPr="00EB2DE4" w14:paraId="63E32674" w14:textId="77777777" w:rsidTr="006903A5">
        <w:trPr>
          <w:trHeight w:val="705"/>
          <w:jc w:val="center"/>
        </w:trPr>
        <w:tc>
          <w:tcPr>
            <w:tcW w:w="1500" w:type="dxa"/>
            <w:tcBorders>
              <w:top w:val="single" w:sz="8" w:space="0" w:color="auto"/>
              <w:left w:val="single" w:sz="8" w:space="0" w:color="auto"/>
              <w:bottom w:val="single" w:sz="8" w:space="0" w:color="auto"/>
              <w:right w:val="nil"/>
            </w:tcBorders>
            <w:shd w:val="clear" w:color="auto" w:fill="auto"/>
            <w:noWrap/>
            <w:vAlign w:val="center"/>
            <w:hideMark/>
          </w:tcPr>
          <w:p w14:paraId="66D753AE" w14:textId="77777777" w:rsidR="004277C8" w:rsidRPr="00EB2DE4" w:rsidRDefault="004277C8" w:rsidP="00297DF0">
            <w:pPr>
              <w:spacing w:after="0"/>
              <w:jc w:val="center"/>
              <w:rPr>
                <w:rFonts w:ascii="Calibri" w:hAnsi="Calibri"/>
                <w:b/>
                <w:bCs/>
                <w:color w:val="000000"/>
                <w:sz w:val="22"/>
                <w:szCs w:val="22"/>
                <w:lang w:val="en-US"/>
              </w:rPr>
            </w:pPr>
            <w:r w:rsidRPr="00EB2DE4">
              <w:rPr>
                <w:rFonts w:ascii="Calibri" w:hAnsi="Calibri"/>
                <w:b/>
                <w:bCs/>
                <w:color w:val="000000"/>
                <w:sz w:val="22"/>
                <w:szCs w:val="22"/>
                <w:lang w:val="en-US"/>
              </w:rPr>
              <w:t>Selected CW</w:t>
            </w:r>
            <w:r>
              <w:rPr>
                <w:rFonts w:ascii="Calibri" w:hAnsi="Calibri"/>
                <w:b/>
                <w:bCs/>
                <w:color w:val="000000"/>
                <w:sz w:val="22"/>
                <w:szCs w:val="22"/>
                <w:lang w:val="en-US"/>
              </w:rPr>
              <w:t xml:space="preserve"> at the TE</w:t>
            </w:r>
          </w:p>
        </w:tc>
        <w:tc>
          <w:tcPr>
            <w:tcW w:w="20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B2152C" w14:textId="3AE7CB5B" w:rsidR="004277C8" w:rsidRPr="00EB2DE4" w:rsidRDefault="004277C8" w:rsidP="00297DF0">
            <w:pPr>
              <w:spacing w:after="0"/>
              <w:jc w:val="center"/>
              <w:rPr>
                <w:rFonts w:ascii="Calibri" w:hAnsi="Calibri"/>
                <w:b/>
                <w:bCs/>
                <w:color w:val="000000"/>
                <w:sz w:val="22"/>
                <w:szCs w:val="22"/>
                <w:lang w:val="en-US"/>
              </w:rPr>
            </w:pPr>
            <w:r w:rsidRPr="00EB2DE4">
              <w:rPr>
                <w:rFonts w:ascii="Calibri" w:hAnsi="Calibri"/>
                <w:b/>
                <w:bCs/>
                <w:color w:val="000000"/>
                <w:sz w:val="22"/>
                <w:szCs w:val="22"/>
                <w:lang w:val="en-US"/>
              </w:rPr>
              <w:t>Expected</w:t>
            </w:r>
            <w:r w:rsidR="006903A5">
              <w:rPr>
                <w:rFonts w:ascii="Calibri" w:hAnsi="Calibri"/>
                <w:b/>
                <w:bCs/>
                <w:color w:val="000000"/>
                <w:sz w:val="22"/>
                <w:szCs w:val="22"/>
                <w:lang w:val="en-US"/>
              </w:rPr>
              <w:t xml:space="preserve"> average</w:t>
            </w:r>
            <w:r w:rsidRPr="00EB2DE4">
              <w:rPr>
                <w:rFonts w:ascii="Calibri" w:hAnsi="Calibri"/>
                <w:b/>
                <w:bCs/>
                <w:color w:val="000000"/>
                <w:sz w:val="22"/>
                <w:szCs w:val="22"/>
                <w:lang w:val="en-US"/>
              </w:rPr>
              <w:t xml:space="preserve"> BI</w:t>
            </w:r>
            <w:r>
              <w:rPr>
                <w:rFonts w:ascii="Calibri" w:hAnsi="Calibri"/>
                <w:b/>
                <w:bCs/>
                <w:color w:val="000000"/>
                <w:sz w:val="22"/>
                <w:szCs w:val="22"/>
                <w:lang w:val="en-US"/>
              </w:rPr>
              <w:t xml:space="preserve"> at the TE</w:t>
            </w:r>
          </w:p>
        </w:tc>
      </w:tr>
      <w:tr w:rsidR="004277C8" w:rsidRPr="00EB2DE4" w14:paraId="669AF0BC" w14:textId="77777777" w:rsidTr="006903A5">
        <w:trPr>
          <w:trHeight w:val="288"/>
          <w:jc w:val="center"/>
        </w:trPr>
        <w:tc>
          <w:tcPr>
            <w:tcW w:w="1500" w:type="dxa"/>
            <w:tcBorders>
              <w:top w:val="nil"/>
              <w:left w:val="single" w:sz="8" w:space="0" w:color="auto"/>
              <w:bottom w:val="nil"/>
              <w:right w:val="nil"/>
            </w:tcBorders>
            <w:shd w:val="clear" w:color="auto" w:fill="auto"/>
            <w:noWrap/>
            <w:vAlign w:val="bottom"/>
            <w:hideMark/>
          </w:tcPr>
          <w:p w14:paraId="1C471885" w14:textId="77777777" w:rsidR="004277C8" w:rsidRPr="00EB2DE4" w:rsidRDefault="004277C8" w:rsidP="00297DF0">
            <w:pPr>
              <w:spacing w:after="0"/>
              <w:jc w:val="center"/>
              <w:rPr>
                <w:rFonts w:ascii="Calibri" w:hAnsi="Calibri"/>
                <w:color w:val="000000"/>
                <w:sz w:val="22"/>
                <w:szCs w:val="22"/>
                <w:lang w:val="en-US"/>
              </w:rPr>
            </w:pPr>
            <w:r w:rsidRPr="00EB2DE4">
              <w:rPr>
                <w:rFonts w:ascii="Calibri" w:hAnsi="Calibri"/>
                <w:color w:val="000000"/>
                <w:sz w:val="22"/>
                <w:szCs w:val="22"/>
                <w:lang w:val="en-US"/>
              </w:rPr>
              <w:t>3</w:t>
            </w:r>
          </w:p>
        </w:tc>
        <w:tc>
          <w:tcPr>
            <w:tcW w:w="2033" w:type="dxa"/>
            <w:tcBorders>
              <w:top w:val="nil"/>
              <w:left w:val="single" w:sz="4" w:space="0" w:color="auto"/>
              <w:bottom w:val="nil"/>
              <w:right w:val="single" w:sz="8" w:space="0" w:color="auto"/>
            </w:tcBorders>
            <w:shd w:val="clear" w:color="auto" w:fill="auto"/>
            <w:noWrap/>
            <w:vAlign w:val="bottom"/>
            <w:hideMark/>
          </w:tcPr>
          <w:p w14:paraId="6E845AC4" w14:textId="052871E2" w:rsidR="004277C8" w:rsidRPr="00EB2DE4" w:rsidRDefault="00C11882" w:rsidP="000B04D8">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4277C8" w:rsidRPr="00EB2DE4" w14:paraId="05D3A41F" w14:textId="77777777" w:rsidTr="006903A5">
        <w:trPr>
          <w:trHeight w:val="288"/>
          <w:jc w:val="center"/>
        </w:trPr>
        <w:tc>
          <w:tcPr>
            <w:tcW w:w="1500" w:type="dxa"/>
            <w:tcBorders>
              <w:top w:val="nil"/>
              <w:left w:val="single" w:sz="8" w:space="0" w:color="auto"/>
              <w:bottom w:val="nil"/>
              <w:right w:val="nil"/>
            </w:tcBorders>
            <w:shd w:val="clear" w:color="auto" w:fill="auto"/>
            <w:noWrap/>
            <w:vAlign w:val="bottom"/>
            <w:hideMark/>
          </w:tcPr>
          <w:p w14:paraId="61124CEA" w14:textId="4AC0DF72" w:rsidR="004277C8" w:rsidRPr="00EB2DE4" w:rsidRDefault="004277C8" w:rsidP="00297DF0">
            <w:pPr>
              <w:spacing w:after="0"/>
              <w:jc w:val="center"/>
              <w:rPr>
                <w:rFonts w:ascii="Calibri" w:hAnsi="Calibri"/>
                <w:color w:val="000000"/>
                <w:sz w:val="22"/>
                <w:szCs w:val="22"/>
                <w:lang w:val="en-US"/>
              </w:rPr>
            </w:pPr>
            <w:r>
              <w:rPr>
                <w:rFonts w:ascii="Calibri" w:hAnsi="Calibri"/>
                <w:color w:val="000000"/>
                <w:sz w:val="22"/>
                <w:szCs w:val="22"/>
                <w:lang w:val="en-US"/>
              </w:rPr>
              <w:t>7</w:t>
            </w:r>
          </w:p>
        </w:tc>
        <w:tc>
          <w:tcPr>
            <w:tcW w:w="2033" w:type="dxa"/>
            <w:tcBorders>
              <w:top w:val="nil"/>
              <w:left w:val="single" w:sz="4" w:space="0" w:color="auto"/>
              <w:bottom w:val="nil"/>
              <w:right w:val="single" w:sz="8" w:space="0" w:color="auto"/>
            </w:tcBorders>
            <w:shd w:val="clear" w:color="auto" w:fill="auto"/>
            <w:noWrap/>
            <w:vAlign w:val="bottom"/>
            <w:hideMark/>
          </w:tcPr>
          <w:p w14:paraId="161D8713" w14:textId="2DF54FDE" w:rsidR="004277C8" w:rsidRPr="00EB2DE4" w:rsidRDefault="00C11882" w:rsidP="00F757DD">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5733B9" w:rsidRPr="00EB2DE4" w14:paraId="21CCCFBA" w14:textId="77777777" w:rsidTr="006903A5">
        <w:trPr>
          <w:trHeight w:val="288"/>
          <w:jc w:val="center"/>
        </w:trPr>
        <w:tc>
          <w:tcPr>
            <w:tcW w:w="1500" w:type="dxa"/>
            <w:tcBorders>
              <w:top w:val="nil"/>
              <w:left w:val="single" w:sz="8" w:space="0" w:color="auto"/>
              <w:bottom w:val="nil"/>
              <w:right w:val="nil"/>
            </w:tcBorders>
            <w:shd w:val="clear" w:color="auto" w:fill="auto"/>
            <w:noWrap/>
            <w:vAlign w:val="bottom"/>
            <w:hideMark/>
          </w:tcPr>
          <w:p w14:paraId="3D471E0D" w14:textId="2495CFCC" w:rsidR="005733B9" w:rsidRPr="00EB2DE4" w:rsidRDefault="005733B9" w:rsidP="00890C20">
            <w:pPr>
              <w:spacing w:after="0"/>
              <w:jc w:val="center"/>
              <w:rPr>
                <w:rFonts w:ascii="Calibri" w:hAnsi="Calibri"/>
                <w:color w:val="000000"/>
                <w:sz w:val="22"/>
                <w:szCs w:val="22"/>
                <w:lang w:val="en-US"/>
              </w:rPr>
            </w:pPr>
            <w:r>
              <w:rPr>
                <w:rFonts w:ascii="Calibri" w:hAnsi="Calibri"/>
                <w:color w:val="000000"/>
                <w:sz w:val="22"/>
                <w:szCs w:val="22"/>
                <w:lang w:val="en-US"/>
              </w:rPr>
              <w:t>1</w:t>
            </w:r>
            <w:r w:rsidR="00890C20">
              <w:rPr>
                <w:rFonts w:ascii="Calibri" w:hAnsi="Calibri"/>
                <w:color w:val="000000"/>
                <w:sz w:val="22"/>
                <w:szCs w:val="22"/>
                <w:lang w:val="en-US"/>
              </w:rPr>
              <w:t>5</w:t>
            </w:r>
          </w:p>
        </w:tc>
        <w:tc>
          <w:tcPr>
            <w:tcW w:w="2033" w:type="dxa"/>
            <w:tcBorders>
              <w:top w:val="nil"/>
              <w:left w:val="single" w:sz="4" w:space="0" w:color="auto"/>
              <w:bottom w:val="nil"/>
              <w:right w:val="single" w:sz="8" w:space="0" w:color="auto"/>
            </w:tcBorders>
            <w:shd w:val="clear" w:color="auto" w:fill="auto"/>
            <w:noWrap/>
            <w:vAlign w:val="bottom"/>
            <w:hideMark/>
          </w:tcPr>
          <w:p w14:paraId="6C58B2B6" w14:textId="4002A033" w:rsidR="005733B9" w:rsidRPr="00EB2DE4" w:rsidRDefault="00C11882" w:rsidP="000B04D8">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4277C8" w:rsidRPr="00EB2DE4" w14:paraId="43333AF7" w14:textId="77777777" w:rsidTr="00017B87">
        <w:trPr>
          <w:trHeight w:val="300"/>
          <w:jc w:val="center"/>
        </w:trPr>
        <w:tc>
          <w:tcPr>
            <w:tcW w:w="1500" w:type="dxa"/>
            <w:tcBorders>
              <w:top w:val="nil"/>
              <w:left w:val="single" w:sz="8" w:space="0" w:color="auto"/>
              <w:bottom w:val="nil"/>
              <w:right w:val="nil"/>
            </w:tcBorders>
            <w:shd w:val="clear" w:color="auto" w:fill="auto"/>
            <w:noWrap/>
            <w:vAlign w:val="bottom"/>
            <w:hideMark/>
          </w:tcPr>
          <w:p w14:paraId="234BDFED" w14:textId="4C73594F" w:rsidR="004277C8" w:rsidRPr="00EB2DE4" w:rsidRDefault="004277C8" w:rsidP="00297DF0">
            <w:pPr>
              <w:spacing w:after="0"/>
              <w:jc w:val="center"/>
              <w:rPr>
                <w:rFonts w:ascii="Calibri" w:hAnsi="Calibri"/>
                <w:color w:val="000000"/>
                <w:sz w:val="22"/>
                <w:szCs w:val="22"/>
                <w:lang w:val="en-US"/>
              </w:rPr>
            </w:pPr>
            <w:r>
              <w:rPr>
                <w:rFonts w:ascii="Calibri" w:hAnsi="Calibri"/>
                <w:color w:val="000000"/>
                <w:sz w:val="22"/>
                <w:szCs w:val="22"/>
                <w:lang w:val="en-US"/>
              </w:rPr>
              <w:t>1</w:t>
            </w:r>
            <w:r w:rsidR="005733B9">
              <w:rPr>
                <w:rFonts w:ascii="Calibri" w:hAnsi="Calibri"/>
                <w:color w:val="000000"/>
                <w:sz w:val="22"/>
                <w:szCs w:val="22"/>
                <w:lang w:val="en-US"/>
              </w:rPr>
              <w:t>7</w:t>
            </w:r>
          </w:p>
        </w:tc>
        <w:tc>
          <w:tcPr>
            <w:tcW w:w="2033" w:type="dxa"/>
            <w:tcBorders>
              <w:top w:val="nil"/>
              <w:left w:val="single" w:sz="4" w:space="0" w:color="auto"/>
              <w:bottom w:val="nil"/>
              <w:right w:val="single" w:sz="8" w:space="0" w:color="auto"/>
            </w:tcBorders>
            <w:shd w:val="clear" w:color="auto" w:fill="auto"/>
            <w:noWrap/>
            <w:vAlign w:val="bottom"/>
            <w:hideMark/>
          </w:tcPr>
          <w:p w14:paraId="30DA5673" w14:textId="3C864214" w:rsidR="004277C8" w:rsidRPr="00EB2DE4" w:rsidRDefault="00C11882" w:rsidP="00297DF0">
            <w:pPr>
              <w:spacing w:after="0"/>
              <w:jc w:val="center"/>
              <w:rPr>
                <w:rFonts w:ascii="Calibri" w:hAnsi="Calibri"/>
                <w:color w:val="000000"/>
                <w:sz w:val="22"/>
                <w:szCs w:val="22"/>
                <w:lang w:val="en-US"/>
              </w:rPr>
            </w:pPr>
            <w:r>
              <w:rPr>
                <w:rFonts w:ascii="Calibri" w:hAnsi="Calibri"/>
                <w:color w:val="000000"/>
                <w:sz w:val="22"/>
                <w:szCs w:val="22"/>
                <w:lang w:val="en-US"/>
              </w:rPr>
              <w:t>TBD</w:t>
            </w:r>
          </w:p>
        </w:tc>
      </w:tr>
      <w:tr w:rsidR="00017B87" w:rsidRPr="00EB2DE4" w14:paraId="2D6B63E8" w14:textId="77777777" w:rsidTr="006903A5">
        <w:trPr>
          <w:trHeight w:val="300"/>
          <w:jc w:val="center"/>
        </w:trPr>
        <w:tc>
          <w:tcPr>
            <w:tcW w:w="1500" w:type="dxa"/>
            <w:tcBorders>
              <w:top w:val="nil"/>
              <w:left w:val="single" w:sz="8" w:space="0" w:color="auto"/>
              <w:bottom w:val="single" w:sz="8" w:space="0" w:color="auto"/>
              <w:right w:val="nil"/>
            </w:tcBorders>
            <w:shd w:val="clear" w:color="auto" w:fill="auto"/>
            <w:noWrap/>
            <w:vAlign w:val="bottom"/>
          </w:tcPr>
          <w:p w14:paraId="6C9EC0A0" w14:textId="4FB1A4A9" w:rsidR="00017B87" w:rsidRDefault="00017B87" w:rsidP="00297DF0">
            <w:pPr>
              <w:spacing w:after="0"/>
              <w:jc w:val="center"/>
              <w:rPr>
                <w:rFonts w:ascii="Calibri" w:hAnsi="Calibri"/>
                <w:color w:val="000000"/>
                <w:sz w:val="22"/>
                <w:szCs w:val="22"/>
                <w:lang w:val="en-US"/>
              </w:rPr>
            </w:pPr>
            <w:r>
              <w:rPr>
                <w:rFonts w:ascii="Calibri" w:hAnsi="Calibri"/>
                <w:color w:val="000000"/>
                <w:sz w:val="22"/>
                <w:szCs w:val="22"/>
                <w:lang w:val="en-US"/>
              </w:rPr>
              <w:t>…</w:t>
            </w:r>
          </w:p>
        </w:tc>
        <w:tc>
          <w:tcPr>
            <w:tcW w:w="2033" w:type="dxa"/>
            <w:tcBorders>
              <w:top w:val="nil"/>
              <w:left w:val="single" w:sz="4" w:space="0" w:color="auto"/>
              <w:bottom w:val="single" w:sz="8" w:space="0" w:color="auto"/>
              <w:right w:val="single" w:sz="8" w:space="0" w:color="auto"/>
            </w:tcBorders>
            <w:shd w:val="clear" w:color="auto" w:fill="auto"/>
            <w:noWrap/>
            <w:vAlign w:val="bottom"/>
          </w:tcPr>
          <w:p w14:paraId="2150A234" w14:textId="2E6CA137" w:rsidR="00017B87" w:rsidRDefault="00017B87" w:rsidP="00297DF0">
            <w:pPr>
              <w:spacing w:after="0"/>
              <w:jc w:val="center"/>
              <w:rPr>
                <w:rFonts w:ascii="Calibri" w:hAnsi="Calibri"/>
                <w:color w:val="000000"/>
                <w:sz w:val="22"/>
                <w:szCs w:val="22"/>
                <w:lang w:val="en-US"/>
              </w:rPr>
            </w:pPr>
            <w:r>
              <w:rPr>
                <w:rFonts w:ascii="Calibri" w:hAnsi="Calibri"/>
                <w:color w:val="000000"/>
                <w:sz w:val="22"/>
                <w:szCs w:val="22"/>
                <w:lang w:val="en-US"/>
              </w:rPr>
              <w:t>…</w:t>
            </w:r>
          </w:p>
        </w:tc>
      </w:tr>
    </w:tbl>
    <w:p w14:paraId="1E9DCFE3" w14:textId="77777777" w:rsidR="004277C8" w:rsidRDefault="004277C8" w:rsidP="00B44D53">
      <w:pPr>
        <w:jc w:val="both"/>
      </w:pPr>
    </w:p>
    <w:p w14:paraId="6F4156B1" w14:textId="2C911FF5" w:rsidR="00A22EFA" w:rsidRDefault="00A22EFA" w:rsidP="00B44D53">
      <w:pPr>
        <w:jc w:val="both"/>
      </w:pPr>
    </w:p>
    <w:p w14:paraId="51096C37" w14:textId="679832A7" w:rsidR="00EB2DE4" w:rsidRDefault="00832012" w:rsidP="00247A04">
      <w:pPr>
        <w:jc w:val="both"/>
      </w:pPr>
      <w:r>
        <w:t xml:space="preserve">The test equipment connected to the DUT will record the number of </w:t>
      </w:r>
      <w:r w:rsidR="00EB2DE4">
        <w:t xml:space="preserve">back-off </w:t>
      </w:r>
      <w:r>
        <w:t>interruptions (</w:t>
      </w:r>
      <w:r w:rsidR="00EB2DE4">
        <w:t>BI</w:t>
      </w:r>
      <w:r>
        <w:t>) during its attempt</w:t>
      </w:r>
      <w:r w:rsidR="004713E5">
        <w:t>s</w:t>
      </w:r>
      <w:r>
        <w:t xml:space="preserve"> to transmit</w:t>
      </w:r>
      <w:r w:rsidR="004713E5">
        <w:t xml:space="preserve"> using the selected CW.</w:t>
      </w:r>
      <w:r w:rsidR="00F765AD">
        <w:t xml:space="preserve"> The measured </w:t>
      </w:r>
      <w:r w:rsidR="00EB2DE4">
        <w:t xml:space="preserve">BI </w:t>
      </w:r>
      <w:r w:rsidR="00F765AD">
        <w:t xml:space="preserve">by </w:t>
      </w:r>
      <w:r w:rsidR="00247A04">
        <w:t xml:space="preserve">the </w:t>
      </w:r>
      <w:r w:rsidR="00F765AD">
        <w:t>TE</w:t>
      </w:r>
      <w:r>
        <w:t xml:space="preserve"> </w:t>
      </w:r>
      <w:r w:rsidR="00F765AD">
        <w:t>should be within a given range for the DUT to pass the test.</w:t>
      </w:r>
      <w:r w:rsidR="0032280B">
        <w:t xml:space="preserve"> </w:t>
      </w:r>
      <w:r w:rsidR="00EB2DE4">
        <w:t xml:space="preserve">Even in this case the acceptable BI range can be obtained by running a full buffer simulation with all nodes seeing each other above ED threshold. The outcome of this simulation can </w:t>
      </w:r>
      <w:r w:rsidR="0032280B">
        <w:t xml:space="preserve">be </w:t>
      </w:r>
      <w:r w:rsidR="00EB2DE4">
        <w:t xml:space="preserve">a table where the expected BI is recorded as a function of the </w:t>
      </w:r>
      <w:r w:rsidR="0032280B">
        <w:t>selected CW, as shown in</w:t>
      </w:r>
      <w:r w:rsidR="00056734">
        <w:t xml:space="preserve"> </w:t>
      </w:r>
      <w:r w:rsidR="00056734">
        <w:fldChar w:fldCharType="begin"/>
      </w:r>
      <w:r w:rsidR="00056734">
        <w:instrText xml:space="preserve"> REF _Ref316310130 \h </w:instrText>
      </w:r>
      <w:r w:rsidR="00056734">
        <w:fldChar w:fldCharType="separate"/>
      </w:r>
      <w:r w:rsidR="005E5BEC">
        <w:t xml:space="preserve">Table </w:t>
      </w:r>
      <w:r w:rsidR="005E5BEC">
        <w:rPr>
          <w:noProof/>
        </w:rPr>
        <w:t>2</w:t>
      </w:r>
      <w:r w:rsidR="00056734">
        <w:fldChar w:fldCharType="end"/>
      </w:r>
      <w:r w:rsidR="00F07ECC">
        <w:t>.</w:t>
      </w:r>
    </w:p>
    <w:p w14:paraId="394E7297" w14:textId="533F1D84" w:rsidR="00B44D53" w:rsidRDefault="00B44D53" w:rsidP="00B44D53">
      <w:pPr>
        <w:jc w:val="both"/>
      </w:pPr>
      <w:r>
        <w:t xml:space="preserve">To summarize the above observations, </w:t>
      </w:r>
      <w:r w:rsidR="00843456">
        <w:t>a test procedure for the back-off procedure can be summarized as follows:</w:t>
      </w:r>
    </w:p>
    <w:p w14:paraId="118ECB5F" w14:textId="77777777" w:rsidR="00B44D53" w:rsidRDefault="00B44D53" w:rsidP="00B44D53">
      <w:pPr>
        <w:pStyle w:val="ListParagraph"/>
        <w:numPr>
          <w:ilvl w:val="0"/>
          <w:numId w:val="31"/>
        </w:numPr>
        <w:jc w:val="both"/>
      </w:pPr>
      <w:r>
        <w:t>The DUT is connected to the test equipment and operating in normal conditions, i.e. without interference.</w:t>
      </w:r>
    </w:p>
    <w:p w14:paraId="2E1CBE0D" w14:textId="6BC1227C" w:rsidR="00B44D53" w:rsidRDefault="00B44D53" w:rsidP="00B44D53">
      <w:pPr>
        <w:pStyle w:val="ListParagraph"/>
        <w:numPr>
          <w:ilvl w:val="0"/>
          <w:numId w:val="31"/>
        </w:numPr>
        <w:jc w:val="both"/>
      </w:pPr>
      <w:r>
        <w:t xml:space="preserve">The </w:t>
      </w:r>
      <w:r w:rsidR="00843456">
        <w:t xml:space="preserve">TE is an exponential back-off device with fixed </w:t>
      </w:r>
      <w:proofErr w:type="spellStart"/>
      <w:r w:rsidR="00843456">
        <w:t>CWmin</w:t>
      </w:r>
      <w:proofErr w:type="spellEnd"/>
      <w:r w:rsidR="00843456">
        <w:t>=</w:t>
      </w:r>
      <w:proofErr w:type="spellStart"/>
      <w:r w:rsidR="00843456">
        <w:t>CWmax</w:t>
      </w:r>
      <w:proofErr w:type="spellEnd"/>
      <w:r w:rsidR="00843456">
        <w:t xml:space="preserve">. </w:t>
      </w:r>
      <w:proofErr w:type="spellStart"/>
      <w:r w:rsidR="00843456">
        <w:t>CWmin</w:t>
      </w:r>
      <w:proofErr w:type="spellEnd"/>
      <w:r w:rsidR="00843456">
        <w:t xml:space="preserve"> and </w:t>
      </w:r>
      <w:proofErr w:type="spellStart"/>
      <w:r w:rsidR="00843456">
        <w:t>CWmax</w:t>
      </w:r>
      <w:proofErr w:type="spellEnd"/>
      <w:r w:rsidR="00843456">
        <w:t xml:space="preserve"> are selected based on </w:t>
      </w:r>
      <w:r w:rsidR="005E5BEC">
        <w:fldChar w:fldCharType="begin"/>
      </w:r>
      <w:r w:rsidR="005E5BEC">
        <w:instrText xml:space="preserve"> REF _Ref316309196 \h </w:instrText>
      </w:r>
      <w:r w:rsidR="005E5BEC">
        <w:fldChar w:fldCharType="separate"/>
      </w:r>
      <w:r w:rsidR="005E5BEC">
        <w:t xml:space="preserve">Table </w:t>
      </w:r>
      <w:r w:rsidR="005E5BEC">
        <w:rPr>
          <w:noProof/>
        </w:rPr>
        <w:t>1</w:t>
      </w:r>
      <w:r w:rsidR="005E5BEC">
        <w:fldChar w:fldCharType="end"/>
      </w:r>
      <w:r w:rsidR="00843456">
        <w:fldChar w:fldCharType="begin"/>
      </w:r>
      <w:r w:rsidR="00843456">
        <w:instrText xml:space="preserve"> REF _Ref442352187 \h </w:instrText>
      </w:r>
      <w:r w:rsidR="00843456">
        <w:fldChar w:fldCharType="end"/>
      </w:r>
      <w:r w:rsidR="00843456">
        <w:t>.</w:t>
      </w:r>
    </w:p>
    <w:p w14:paraId="78432491" w14:textId="5378FC7A" w:rsidR="00843456" w:rsidRDefault="00843456" w:rsidP="00B44D53">
      <w:pPr>
        <w:pStyle w:val="ListParagraph"/>
        <w:numPr>
          <w:ilvl w:val="0"/>
          <w:numId w:val="31"/>
        </w:numPr>
        <w:jc w:val="both"/>
      </w:pPr>
      <w:r>
        <w:t>The TE is connected to</w:t>
      </w:r>
      <w:r w:rsidR="00247A04">
        <w:t xml:space="preserve"> the DUT. The DUT sees the TE </w:t>
      </w:r>
      <w:r w:rsidR="004713E5">
        <w:t xml:space="preserve">above ED level (&gt; </w:t>
      </w:r>
      <w:r>
        <w:t>-72</w:t>
      </w:r>
      <w:r w:rsidR="004713E5">
        <w:t xml:space="preserve"> </w:t>
      </w:r>
      <w:proofErr w:type="spellStart"/>
      <w:r>
        <w:t>dBm</w:t>
      </w:r>
      <w:proofErr w:type="spellEnd"/>
      <w:r>
        <w:t>/20MHz</w:t>
      </w:r>
      <w:r w:rsidR="004713E5">
        <w:t>)</w:t>
      </w:r>
      <w:r>
        <w:t>.</w:t>
      </w:r>
    </w:p>
    <w:p w14:paraId="759CE2F9" w14:textId="3636CA43" w:rsidR="00843456" w:rsidRDefault="00843456" w:rsidP="00B44D53">
      <w:pPr>
        <w:pStyle w:val="ListParagraph"/>
        <w:numPr>
          <w:ilvl w:val="0"/>
          <w:numId w:val="31"/>
        </w:numPr>
        <w:jc w:val="both"/>
      </w:pPr>
      <w:r>
        <w:t>Both TE and DUT transmit full buffer</w:t>
      </w:r>
    </w:p>
    <w:p w14:paraId="4752703A" w14:textId="68488412" w:rsidR="00843456" w:rsidRDefault="00843456" w:rsidP="00B44D53">
      <w:pPr>
        <w:pStyle w:val="ListParagraph"/>
        <w:numPr>
          <w:ilvl w:val="0"/>
          <w:numId w:val="31"/>
        </w:numPr>
        <w:jc w:val="both"/>
      </w:pPr>
      <w:r>
        <w:t xml:space="preserve">The TE records the </w:t>
      </w:r>
      <w:r w:rsidR="00EB2DE4">
        <w:t xml:space="preserve">BI </w:t>
      </w:r>
      <w:r w:rsidR="00AB43E3">
        <w:t>over</w:t>
      </w:r>
      <w:r>
        <w:t xml:space="preserve"> a window of time</w:t>
      </w:r>
      <w:r w:rsidR="00AB43E3">
        <w:t xml:space="preserve"> (sufficient to have enough statistics)</w:t>
      </w:r>
    </w:p>
    <w:p w14:paraId="5B7AE41A" w14:textId="52EB6C51" w:rsidR="00843456" w:rsidRDefault="004713E5" w:rsidP="00B44D53">
      <w:pPr>
        <w:pStyle w:val="ListParagraph"/>
        <w:numPr>
          <w:ilvl w:val="0"/>
          <w:numId w:val="31"/>
        </w:numPr>
        <w:jc w:val="both"/>
      </w:pPr>
      <w:r>
        <w:t xml:space="preserve">The </w:t>
      </w:r>
      <w:r w:rsidR="00EB2DE4">
        <w:t xml:space="preserve">BI </w:t>
      </w:r>
      <w:r w:rsidR="00843456">
        <w:t>recorded by TE is compared to a look up table based on</w:t>
      </w:r>
      <w:r w:rsidR="005E5BEC">
        <w:t xml:space="preserve"> </w:t>
      </w:r>
      <w:r w:rsidR="005E5BEC">
        <w:fldChar w:fldCharType="begin"/>
      </w:r>
      <w:r w:rsidR="005E5BEC">
        <w:instrText xml:space="preserve"> REF _Ref316310130 \h </w:instrText>
      </w:r>
      <w:r w:rsidR="005E5BEC">
        <w:fldChar w:fldCharType="separate"/>
      </w:r>
      <w:r w:rsidR="005E5BEC">
        <w:t xml:space="preserve">Table </w:t>
      </w:r>
      <w:r w:rsidR="005E5BEC">
        <w:rPr>
          <w:noProof/>
        </w:rPr>
        <w:t>2</w:t>
      </w:r>
      <w:r w:rsidR="005E5BEC">
        <w:fldChar w:fldCharType="end"/>
      </w:r>
      <w:r w:rsidR="0032280B">
        <w:t>.</w:t>
      </w:r>
    </w:p>
    <w:p w14:paraId="7054CD53" w14:textId="607C28C1" w:rsidR="009A6DE2" w:rsidRPr="00017B87" w:rsidRDefault="00843456" w:rsidP="00843456">
      <w:pPr>
        <w:pStyle w:val="ListParagraph"/>
        <w:numPr>
          <w:ilvl w:val="0"/>
          <w:numId w:val="31"/>
        </w:numPr>
        <w:jc w:val="both"/>
      </w:pPr>
      <w:r>
        <w:t>If the measured IPT value is within a specified range compared to target value, DUT passes the test</w:t>
      </w:r>
      <w:r w:rsidR="004713E5">
        <w:t>.</w:t>
      </w:r>
    </w:p>
    <w:p w14:paraId="4EE1DEA0" w14:textId="637AC709" w:rsidR="00843456" w:rsidRDefault="00AF12C1" w:rsidP="00843456">
      <w:pPr>
        <w:jc w:val="both"/>
      </w:pPr>
      <w:r>
        <w:t xml:space="preserve">An example of test setup is shown in </w:t>
      </w:r>
      <w:r>
        <w:fldChar w:fldCharType="begin"/>
      </w:r>
      <w:r>
        <w:instrText xml:space="preserve"> REF _Ref442193120 \h </w:instrText>
      </w:r>
      <w:r>
        <w:fldChar w:fldCharType="separate"/>
      </w:r>
      <w:r w:rsidR="005E5BEC">
        <w:t xml:space="preserve">Figure </w:t>
      </w:r>
      <w:r w:rsidR="005E5BEC">
        <w:rPr>
          <w:noProof/>
        </w:rPr>
        <w:t>1</w:t>
      </w:r>
      <w:r>
        <w:fldChar w:fldCharType="end"/>
      </w:r>
      <w:r w:rsidR="0032280B">
        <w:t>: the BS is connected to the UE and will update i</w:t>
      </w:r>
      <w:r w:rsidR="00247A04">
        <w:t>t</w:t>
      </w:r>
      <w:r w:rsidR="0032280B">
        <w:t>s CW based on the received ACK/NACK, the TE generates the interferer pattern above ED and will measure the back-off interruptions.</w:t>
      </w:r>
    </w:p>
    <w:p w14:paraId="5D06D3AF" w14:textId="2301E749" w:rsidR="006D0373" w:rsidRDefault="0032280B" w:rsidP="006D0373">
      <w:pPr>
        <w:keepNext/>
        <w:jc w:val="center"/>
      </w:pPr>
      <w:r>
        <w:rPr>
          <w:noProof/>
          <w:lang w:val="en-US"/>
        </w:rPr>
        <w:lastRenderedPageBreak/>
        <w:drawing>
          <wp:inline distT="0" distB="0" distL="0" distR="0" wp14:anchorId="3E8A6E55" wp14:editId="095BA1C1">
            <wp:extent cx="4433847" cy="25971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3287" cy="2602679"/>
                    </a:xfrm>
                    <a:prstGeom prst="rect">
                      <a:avLst/>
                    </a:prstGeom>
                    <a:noFill/>
                  </pic:spPr>
                </pic:pic>
              </a:graphicData>
            </a:graphic>
          </wp:inline>
        </w:drawing>
      </w:r>
    </w:p>
    <w:p w14:paraId="69F3BB3C" w14:textId="3861851C" w:rsidR="006D0373" w:rsidRDefault="006D0373" w:rsidP="006D0373">
      <w:pPr>
        <w:pStyle w:val="Caption"/>
        <w:jc w:val="center"/>
      </w:pPr>
      <w:bookmarkStart w:id="5" w:name="_Ref442193120"/>
      <w:r>
        <w:t xml:space="preserve">Figure </w:t>
      </w:r>
      <w:r>
        <w:fldChar w:fldCharType="begin"/>
      </w:r>
      <w:r>
        <w:instrText xml:space="preserve"> SEQ Figure \* ARABIC </w:instrText>
      </w:r>
      <w:r>
        <w:fldChar w:fldCharType="separate"/>
      </w:r>
      <w:r w:rsidR="005E5BEC">
        <w:rPr>
          <w:noProof/>
        </w:rPr>
        <w:t>1</w:t>
      </w:r>
      <w:r>
        <w:fldChar w:fldCharType="end"/>
      </w:r>
      <w:bookmarkEnd w:id="5"/>
      <w:r>
        <w:t xml:space="preserve">. Example of test setup for the </w:t>
      </w:r>
      <w:r w:rsidR="00521FBB">
        <w:t>LBT back-off</w:t>
      </w:r>
      <w:r>
        <w:t xml:space="preserve"> test.</w:t>
      </w:r>
      <w:r w:rsidR="0032280B">
        <w:t xml:space="preserve"> </w:t>
      </w:r>
    </w:p>
    <w:p w14:paraId="0B6C83BE" w14:textId="10B41229" w:rsidR="006D0373" w:rsidRDefault="00AB0053" w:rsidP="00843456">
      <w:pPr>
        <w:jc w:val="both"/>
      </w:pPr>
      <w:r>
        <w:t xml:space="preserve">The proposed methodology allows to highly simplify the back-off test. There are several parameters which determines the back-off behaviour, including deferral time, min and max contention window size. Those parameters also change based on the access category. </w:t>
      </w:r>
      <w:r w:rsidR="004376CC">
        <w:t xml:space="preserve">With the above proposal, RAN4 needs to select one (or few scenarios) with a specified access category and then derive the TBD values in </w:t>
      </w:r>
      <w:r w:rsidR="001053F1">
        <w:fldChar w:fldCharType="begin"/>
      </w:r>
      <w:r w:rsidR="001053F1">
        <w:instrText xml:space="preserve"> REF _Ref316309196 \h </w:instrText>
      </w:r>
      <w:r w:rsidR="001053F1">
        <w:fldChar w:fldCharType="separate"/>
      </w:r>
      <w:r w:rsidR="001053F1">
        <w:t xml:space="preserve">Table </w:t>
      </w:r>
      <w:r w:rsidR="001053F1">
        <w:rPr>
          <w:noProof/>
        </w:rPr>
        <w:t>1</w:t>
      </w:r>
      <w:r w:rsidR="001053F1">
        <w:fldChar w:fldCharType="end"/>
      </w:r>
      <w:r w:rsidR="001053F1">
        <w:t xml:space="preserve"> and </w:t>
      </w:r>
      <w:r w:rsidR="001053F1">
        <w:fldChar w:fldCharType="begin"/>
      </w:r>
      <w:r w:rsidR="001053F1">
        <w:instrText xml:space="preserve"> REF _Ref316310130 \h </w:instrText>
      </w:r>
      <w:r w:rsidR="001053F1">
        <w:fldChar w:fldCharType="separate"/>
      </w:r>
      <w:r w:rsidR="001053F1">
        <w:t xml:space="preserve">Table </w:t>
      </w:r>
      <w:r w:rsidR="001053F1">
        <w:rPr>
          <w:noProof/>
        </w:rPr>
        <w:t>2</w:t>
      </w:r>
      <w:r w:rsidR="001053F1">
        <w:fldChar w:fldCharType="end"/>
      </w:r>
      <w:r w:rsidR="001053F1">
        <w:t>.</w:t>
      </w:r>
    </w:p>
    <w:p w14:paraId="3BB4B4BD" w14:textId="6A4128FD" w:rsidR="006E1AD6" w:rsidRDefault="006E1AD6" w:rsidP="006E1AD6">
      <w:pPr>
        <w:pStyle w:val="Heading1"/>
      </w:pPr>
      <w:r>
        <w:t>Conclusions</w:t>
      </w:r>
    </w:p>
    <w:p w14:paraId="6E26EEFB" w14:textId="27AF9323" w:rsidR="009A6DE2" w:rsidRDefault="0032280B" w:rsidP="006E1AD6">
      <w:pPr>
        <w:jc w:val="both"/>
      </w:pPr>
      <w:r>
        <w:t xml:space="preserve">In this contribution we analysed a possible procedure </w:t>
      </w:r>
      <w:r w:rsidR="00AB0053">
        <w:t>to</w:t>
      </w:r>
      <w:r>
        <w:t xml:space="preserve"> perform LBT back-off mechanism test in RAN4. The methodology is based on the observation that there is direct relationship between the number of nodes operating in the network and the contention window size selected by those nodes. The test equipment can select a fixed window size to emulate a number of nodes. The test than consists in connecting the test equipment to the DUT and measuring the back-off interruption during the count-down procedure at the test equipment, while DUT and test equipment see each other above ED threshold. For the DUT to pass the test, the measured number of interruptions must be within a specified range determined through simulations.</w:t>
      </w:r>
    </w:p>
    <w:p w14:paraId="7618FC58" w14:textId="77777777" w:rsidR="00B44D53" w:rsidRDefault="00B44D53" w:rsidP="006E1AD6">
      <w:pPr>
        <w:jc w:val="both"/>
      </w:pPr>
    </w:p>
    <w:p w14:paraId="3795C3D1" w14:textId="77777777" w:rsidR="00B44D53" w:rsidRDefault="00B44D53" w:rsidP="006E1AD6">
      <w:pPr>
        <w:jc w:val="both"/>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C2B558A" w14:textId="51BF7DBD" w:rsidR="00014E79" w:rsidRPr="00014E79" w:rsidRDefault="00014E79" w:rsidP="00F83D30">
      <w:pPr>
        <w:numPr>
          <w:ilvl w:val="0"/>
          <w:numId w:val="2"/>
        </w:numPr>
        <w:tabs>
          <w:tab w:val="left" w:pos="1080"/>
        </w:tabs>
        <w:rPr>
          <w:lang w:val="en-US"/>
        </w:rPr>
      </w:pPr>
      <w:bookmarkStart w:id="6" w:name="_Ref442191279"/>
      <w:bookmarkStart w:id="7" w:name="_Ref419388595"/>
      <w:bookmarkStart w:id="8" w:name="_Ref419289036"/>
      <w:r>
        <w:rPr>
          <w:lang w:val="en-US"/>
        </w:rPr>
        <w:t>R4-158436, “Way forward on coexistence tests for LAA”, Ericsson, Qualcomm</w:t>
      </w:r>
      <w:bookmarkEnd w:id="6"/>
      <w:r>
        <w:rPr>
          <w:lang w:val="en-US"/>
        </w:rPr>
        <w:t xml:space="preserve"> </w:t>
      </w:r>
    </w:p>
    <w:p w14:paraId="23167AE4" w14:textId="77777777" w:rsidR="00F83D30" w:rsidRDefault="00A13CF6" w:rsidP="00F83D30">
      <w:pPr>
        <w:numPr>
          <w:ilvl w:val="0"/>
          <w:numId w:val="2"/>
        </w:numPr>
        <w:tabs>
          <w:tab w:val="left" w:pos="1080"/>
        </w:tabs>
        <w:rPr>
          <w:lang w:val="en-US"/>
        </w:rPr>
      </w:pPr>
      <w:r>
        <w:t>RP-151045, “New Work Item on Licensed-Assisted Access to Unlicensed Spectrum”, Ericsson, Huawei, Qualcomm, Alcatel-Lucent, RAN#68, June 2015</w:t>
      </w:r>
      <w:r w:rsidR="00F83D30">
        <w:rPr>
          <w:lang w:val="en-US"/>
        </w:rPr>
        <w:t>.</w:t>
      </w:r>
      <w:bookmarkEnd w:id="7"/>
    </w:p>
    <w:p w14:paraId="12364C6D" w14:textId="77777777" w:rsidR="00953DE7" w:rsidRPr="00582A1A" w:rsidRDefault="00953DE7" w:rsidP="00953DE7">
      <w:pPr>
        <w:numPr>
          <w:ilvl w:val="0"/>
          <w:numId w:val="2"/>
        </w:numPr>
        <w:tabs>
          <w:tab w:val="left" w:pos="1080"/>
        </w:tabs>
        <w:rPr>
          <w:lang w:val="en-US"/>
        </w:rPr>
      </w:pPr>
      <w:bookmarkStart w:id="9" w:name="_Ref431561844"/>
      <w:r>
        <w:rPr>
          <w:noProof/>
        </w:rPr>
        <w:t xml:space="preserve">R4-156326 , </w:t>
      </w:r>
      <w:r w:rsidRPr="00781440">
        <w:rPr>
          <w:noProof/>
        </w:rPr>
        <w:t>Proposed plan for LAA coexistence testing in RAN4</w:t>
      </w:r>
      <w:r>
        <w:rPr>
          <w:noProof/>
        </w:rPr>
        <w:t>, Qualcomm Incorporated.</w:t>
      </w:r>
      <w:bookmarkEnd w:id="9"/>
    </w:p>
    <w:p w14:paraId="5DF7EFDB" w14:textId="77777777" w:rsidR="00953DE7" w:rsidRPr="009A6DE2" w:rsidRDefault="00953DE7" w:rsidP="00953DE7">
      <w:pPr>
        <w:numPr>
          <w:ilvl w:val="0"/>
          <w:numId w:val="2"/>
        </w:numPr>
        <w:tabs>
          <w:tab w:val="left" w:pos="1080"/>
        </w:tabs>
        <w:rPr>
          <w:lang w:val="en-US"/>
        </w:rPr>
      </w:pPr>
      <w:bookmarkStart w:id="10" w:name="_Ref431561873"/>
      <w:r w:rsidRPr="001929E1">
        <w:rPr>
          <w:noProof/>
        </w:rPr>
        <w:t>R4-154650</w:t>
      </w:r>
      <w:r>
        <w:rPr>
          <w:noProof/>
        </w:rPr>
        <w:t xml:space="preserve">, </w:t>
      </w:r>
      <w:r w:rsidRPr="001929E1">
        <w:rPr>
          <w:noProof/>
        </w:rPr>
        <w:t>LBT requirements for LAA</w:t>
      </w:r>
      <w:r>
        <w:rPr>
          <w:noProof/>
        </w:rPr>
        <w:t>, Qualcomm Incorporated.</w:t>
      </w:r>
      <w:bookmarkEnd w:id="10"/>
    </w:p>
    <w:p w14:paraId="05FC3566" w14:textId="77777777" w:rsidR="009E3EC9" w:rsidRPr="00014E79" w:rsidRDefault="009E3EC9" w:rsidP="009E3EC9">
      <w:pPr>
        <w:numPr>
          <w:ilvl w:val="0"/>
          <w:numId w:val="2"/>
        </w:numPr>
        <w:tabs>
          <w:tab w:val="left" w:pos="1080"/>
        </w:tabs>
        <w:rPr>
          <w:lang w:val="en-US"/>
        </w:rPr>
      </w:pPr>
      <w:bookmarkStart w:id="11" w:name="_Ref431561897"/>
      <w:bookmarkStart w:id="12" w:name="_Ref431379345"/>
      <w:bookmarkEnd w:id="8"/>
      <w:r>
        <w:rPr>
          <w:noProof/>
        </w:rPr>
        <w:t>“Part 11: Wireless LAN Medium Access Control (MAC) and Physical Layer (PHY) Specifications”, IEEE Standard 802.11, 2012.</w:t>
      </w:r>
      <w:bookmarkEnd w:id="11"/>
    </w:p>
    <w:bookmarkEnd w:id="12"/>
    <w:p w14:paraId="161D824F" w14:textId="376010C8" w:rsidR="00FD6938" w:rsidRDefault="00FD6938" w:rsidP="00FD6938">
      <w:pPr>
        <w:tabs>
          <w:tab w:val="left" w:pos="1080"/>
        </w:tabs>
        <w:rPr>
          <w:lang w:val="en-US" w:eastAsia="x-none"/>
        </w:rPr>
      </w:pPr>
    </w:p>
    <w:sectPr w:rsidR="00FD6938"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E1851" w14:textId="77777777" w:rsidR="009859D1" w:rsidRDefault="009859D1">
      <w:r>
        <w:separator/>
      </w:r>
    </w:p>
  </w:endnote>
  <w:endnote w:type="continuationSeparator" w:id="0">
    <w:p w14:paraId="310BEED4" w14:textId="77777777" w:rsidR="009859D1" w:rsidRDefault="0098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11882" w:rsidRDefault="00C118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11882" w:rsidRDefault="00C118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11882" w:rsidRDefault="00C118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7A04">
      <w:rPr>
        <w:rStyle w:val="PageNumber"/>
      </w:rPr>
      <w:t>1</w:t>
    </w:r>
    <w:r>
      <w:rPr>
        <w:rStyle w:val="PageNumber"/>
      </w:rPr>
      <w:fldChar w:fldCharType="end"/>
    </w:r>
  </w:p>
  <w:p w14:paraId="40DAC66D" w14:textId="77777777" w:rsidR="00C11882" w:rsidRDefault="00C1188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7177A" w14:textId="77777777" w:rsidR="009859D1" w:rsidRDefault="009859D1">
      <w:r>
        <w:separator/>
      </w:r>
    </w:p>
  </w:footnote>
  <w:footnote w:type="continuationSeparator" w:id="0">
    <w:p w14:paraId="535EF4E3" w14:textId="77777777" w:rsidR="009859D1" w:rsidRDefault="009859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772"/>
    <w:multiLevelType w:val="hybridMultilevel"/>
    <w:tmpl w:val="6070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B08"/>
    <w:multiLevelType w:val="hybridMultilevel"/>
    <w:tmpl w:val="A93CE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40BD3"/>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E7CA4"/>
    <w:multiLevelType w:val="hybridMultilevel"/>
    <w:tmpl w:val="F74E28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B690D"/>
    <w:multiLevelType w:val="hybridMultilevel"/>
    <w:tmpl w:val="D81A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3C6419FD"/>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526B"/>
    <w:multiLevelType w:val="hybridMultilevel"/>
    <w:tmpl w:val="27DC8D7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5B5F26"/>
    <w:multiLevelType w:val="hybridMultilevel"/>
    <w:tmpl w:val="025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74595"/>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5873C73"/>
    <w:multiLevelType w:val="hybridMultilevel"/>
    <w:tmpl w:val="9180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804FC"/>
    <w:multiLevelType w:val="hybridMultilevel"/>
    <w:tmpl w:val="A87048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F836A3"/>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2614E"/>
    <w:multiLevelType w:val="hybridMultilevel"/>
    <w:tmpl w:val="47ACE8B0"/>
    <w:lvl w:ilvl="0" w:tplc="5B62568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1943EA"/>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7"/>
  </w:num>
  <w:num w:numId="3">
    <w:abstractNumId w:val="31"/>
  </w:num>
  <w:num w:numId="4">
    <w:abstractNumId w:val="35"/>
  </w:num>
  <w:num w:numId="5">
    <w:abstractNumId w:val="23"/>
  </w:num>
  <w:num w:numId="6">
    <w:abstractNumId w:val="14"/>
  </w:num>
  <w:num w:numId="7">
    <w:abstractNumId w:val="6"/>
  </w:num>
  <w:num w:numId="8">
    <w:abstractNumId w:val="30"/>
  </w:num>
  <w:num w:numId="9">
    <w:abstractNumId w:val="15"/>
  </w:num>
  <w:num w:numId="10">
    <w:abstractNumId w:val="22"/>
  </w:num>
  <w:num w:numId="11">
    <w:abstractNumId w:val="36"/>
  </w:num>
  <w:num w:numId="12">
    <w:abstractNumId w:val="5"/>
  </w:num>
  <w:num w:numId="13">
    <w:abstractNumId w:val="17"/>
  </w:num>
  <w:num w:numId="14">
    <w:abstractNumId w:val="16"/>
  </w:num>
  <w:num w:numId="15">
    <w:abstractNumId w:val="2"/>
  </w:num>
  <w:num w:numId="16">
    <w:abstractNumId w:val="11"/>
  </w:num>
  <w:num w:numId="17">
    <w:abstractNumId w:val="7"/>
  </w:num>
  <w:num w:numId="18">
    <w:abstractNumId w:val="8"/>
  </w:num>
  <w:num w:numId="19">
    <w:abstractNumId w:val="26"/>
  </w:num>
  <w:num w:numId="20">
    <w:abstractNumId w:val="13"/>
  </w:num>
  <w:num w:numId="21">
    <w:abstractNumId w:val="10"/>
  </w:num>
  <w:num w:numId="22">
    <w:abstractNumId w:val="4"/>
  </w:num>
  <w:num w:numId="23">
    <w:abstractNumId w:val="21"/>
  </w:num>
  <w:num w:numId="24">
    <w:abstractNumId w:val="0"/>
  </w:num>
  <w:num w:numId="25">
    <w:abstractNumId w:val="9"/>
  </w:num>
  <w:num w:numId="26">
    <w:abstractNumId w:val="1"/>
  </w:num>
  <w:num w:numId="27">
    <w:abstractNumId w:val="28"/>
  </w:num>
  <w:num w:numId="28">
    <w:abstractNumId w:val="24"/>
  </w:num>
  <w:num w:numId="29">
    <w:abstractNumId w:val="29"/>
  </w:num>
  <w:num w:numId="30">
    <w:abstractNumId w:val="20"/>
  </w:num>
  <w:num w:numId="31">
    <w:abstractNumId w:val="18"/>
  </w:num>
  <w:num w:numId="32">
    <w:abstractNumId w:val="25"/>
  </w:num>
  <w:num w:numId="33">
    <w:abstractNumId w:val="32"/>
  </w:num>
  <w:num w:numId="34">
    <w:abstractNumId w:val="19"/>
  </w:num>
  <w:num w:numId="35">
    <w:abstractNumId w:val="33"/>
  </w:num>
  <w:num w:numId="36">
    <w:abstractNumId w:val="34"/>
  </w:num>
  <w:num w:numId="37">
    <w:abstractNumId w:val="3"/>
  </w:num>
  <w:num w:numId="3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9EE"/>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B87"/>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56734"/>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4D8"/>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BCC"/>
    <w:rsid w:val="000D7224"/>
    <w:rsid w:val="000D7652"/>
    <w:rsid w:val="000E0602"/>
    <w:rsid w:val="000E1041"/>
    <w:rsid w:val="000E1046"/>
    <w:rsid w:val="000E2463"/>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3F1"/>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539F"/>
    <w:rsid w:val="001469DA"/>
    <w:rsid w:val="0014774C"/>
    <w:rsid w:val="00150F51"/>
    <w:rsid w:val="001516D8"/>
    <w:rsid w:val="00151825"/>
    <w:rsid w:val="00151ABA"/>
    <w:rsid w:val="0015239C"/>
    <w:rsid w:val="00153374"/>
    <w:rsid w:val="00154025"/>
    <w:rsid w:val="001553C6"/>
    <w:rsid w:val="0015760F"/>
    <w:rsid w:val="0016046E"/>
    <w:rsid w:val="00160A71"/>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75B"/>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3DA6"/>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1C5"/>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47A04"/>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3B39"/>
    <w:rsid w:val="00296186"/>
    <w:rsid w:val="00296805"/>
    <w:rsid w:val="00296B7E"/>
    <w:rsid w:val="00296FCC"/>
    <w:rsid w:val="002976AF"/>
    <w:rsid w:val="00297836"/>
    <w:rsid w:val="00297DF0"/>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0854"/>
    <w:rsid w:val="002C27CE"/>
    <w:rsid w:val="002C3188"/>
    <w:rsid w:val="002C3203"/>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521"/>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80B"/>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7C8"/>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376CC"/>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4FA6"/>
    <w:rsid w:val="00465074"/>
    <w:rsid w:val="00465BF2"/>
    <w:rsid w:val="00465E11"/>
    <w:rsid w:val="00465F0B"/>
    <w:rsid w:val="00466DA4"/>
    <w:rsid w:val="004672D9"/>
    <w:rsid w:val="0046775E"/>
    <w:rsid w:val="0046778F"/>
    <w:rsid w:val="00470D35"/>
    <w:rsid w:val="004713E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1FBB"/>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33B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BEC"/>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6D8"/>
    <w:rsid w:val="00624E83"/>
    <w:rsid w:val="006252F1"/>
    <w:rsid w:val="006258FC"/>
    <w:rsid w:val="0062606D"/>
    <w:rsid w:val="006261CB"/>
    <w:rsid w:val="0062624E"/>
    <w:rsid w:val="00630AAF"/>
    <w:rsid w:val="006312FE"/>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45C"/>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3A5"/>
    <w:rsid w:val="0069074E"/>
    <w:rsid w:val="00690ECD"/>
    <w:rsid w:val="006913F1"/>
    <w:rsid w:val="0069257A"/>
    <w:rsid w:val="00693226"/>
    <w:rsid w:val="006937D5"/>
    <w:rsid w:val="0069399C"/>
    <w:rsid w:val="00693B21"/>
    <w:rsid w:val="006947F0"/>
    <w:rsid w:val="00694B07"/>
    <w:rsid w:val="00694BAD"/>
    <w:rsid w:val="00695A70"/>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373"/>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2B1"/>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58A7"/>
    <w:rsid w:val="0074697D"/>
    <w:rsid w:val="00746F72"/>
    <w:rsid w:val="007477C9"/>
    <w:rsid w:val="007500E4"/>
    <w:rsid w:val="00751CF0"/>
    <w:rsid w:val="00752A7D"/>
    <w:rsid w:val="00753A6B"/>
    <w:rsid w:val="00754D7D"/>
    <w:rsid w:val="007550B4"/>
    <w:rsid w:val="007558C4"/>
    <w:rsid w:val="00757096"/>
    <w:rsid w:val="00757BE4"/>
    <w:rsid w:val="00757F25"/>
    <w:rsid w:val="007601B6"/>
    <w:rsid w:val="00761C17"/>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160C"/>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D719C"/>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4EA8"/>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012"/>
    <w:rsid w:val="0083247C"/>
    <w:rsid w:val="008343EF"/>
    <w:rsid w:val="00834639"/>
    <w:rsid w:val="00835FD5"/>
    <w:rsid w:val="00836C03"/>
    <w:rsid w:val="00837AA5"/>
    <w:rsid w:val="0084009E"/>
    <w:rsid w:val="0084078A"/>
    <w:rsid w:val="00841439"/>
    <w:rsid w:val="00841619"/>
    <w:rsid w:val="0084182C"/>
    <w:rsid w:val="00842010"/>
    <w:rsid w:val="0084318E"/>
    <w:rsid w:val="00843456"/>
    <w:rsid w:val="008436A4"/>
    <w:rsid w:val="0084379E"/>
    <w:rsid w:val="00844161"/>
    <w:rsid w:val="00846038"/>
    <w:rsid w:val="00846244"/>
    <w:rsid w:val="0084627F"/>
    <w:rsid w:val="00846A26"/>
    <w:rsid w:val="00847AFD"/>
    <w:rsid w:val="00847D73"/>
    <w:rsid w:val="008505D7"/>
    <w:rsid w:val="008508CA"/>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9C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0B5C"/>
    <w:rsid w:val="00890C20"/>
    <w:rsid w:val="008915DE"/>
    <w:rsid w:val="00891718"/>
    <w:rsid w:val="00891E17"/>
    <w:rsid w:val="00892DDB"/>
    <w:rsid w:val="0089367F"/>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17FA1"/>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9D1"/>
    <w:rsid w:val="00985A99"/>
    <w:rsid w:val="009860C0"/>
    <w:rsid w:val="009863C3"/>
    <w:rsid w:val="0098654C"/>
    <w:rsid w:val="009865A6"/>
    <w:rsid w:val="0098680C"/>
    <w:rsid w:val="00986FE0"/>
    <w:rsid w:val="0098716E"/>
    <w:rsid w:val="00987DA6"/>
    <w:rsid w:val="00990779"/>
    <w:rsid w:val="00990B18"/>
    <w:rsid w:val="00991607"/>
    <w:rsid w:val="00991E15"/>
    <w:rsid w:val="00992913"/>
    <w:rsid w:val="00992EE5"/>
    <w:rsid w:val="00993E0F"/>
    <w:rsid w:val="0099731F"/>
    <w:rsid w:val="0099797E"/>
    <w:rsid w:val="009A0750"/>
    <w:rsid w:val="009A3970"/>
    <w:rsid w:val="009A3C45"/>
    <w:rsid w:val="009A4651"/>
    <w:rsid w:val="009A49A2"/>
    <w:rsid w:val="009A4B4A"/>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2EFA"/>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BE"/>
    <w:rsid w:val="00AA539D"/>
    <w:rsid w:val="00AA5550"/>
    <w:rsid w:val="00AA5603"/>
    <w:rsid w:val="00AB0053"/>
    <w:rsid w:val="00AB19DD"/>
    <w:rsid w:val="00AB1AAE"/>
    <w:rsid w:val="00AB21F9"/>
    <w:rsid w:val="00AB2C2E"/>
    <w:rsid w:val="00AB3909"/>
    <w:rsid w:val="00AB393C"/>
    <w:rsid w:val="00AB4143"/>
    <w:rsid w:val="00AB43E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431"/>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12C1"/>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D53"/>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87F"/>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553B"/>
    <w:rsid w:val="00C07FC4"/>
    <w:rsid w:val="00C11882"/>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58B7"/>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5DB0"/>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807"/>
    <w:rsid w:val="00D16526"/>
    <w:rsid w:val="00D17CAE"/>
    <w:rsid w:val="00D200D5"/>
    <w:rsid w:val="00D205FA"/>
    <w:rsid w:val="00D20AC1"/>
    <w:rsid w:val="00D21232"/>
    <w:rsid w:val="00D21CA2"/>
    <w:rsid w:val="00D21D17"/>
    <w:rsid w:val="00D22E7A"/>
    <w:rsid w:val="00D26312"/>
    <w:rsid w:val="00D26419"/>
    <w:rsid w:val="00D26DB8"/>
    <w:rsid w:val="00D273DE"/>
    <w:rsid w:val="00D31226"/>
    <w:rsid w:val="00D31FEA"/>
    <w:rsid w:val="00D3265C"/>
    <w:rsid w:val="00D32F25"/>
    <w:rsid w:val="00D33802"/>
    <w:rsid w:val="00D33D97"/>
    <w:rsid w:val="00D342C8"/>
    <w:rsid w:val="00D34B7F"/>
    <w:rsid w:val="00D35BAA"/>
    <w:rsid w:val="00D36127"/>
    <w:rsid w:val="00D37310"/>
    <w:rsid w:val="00D400A9"/>
    <w:rsid w:val="00D40EE2"/>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AD4"/>
    <w:rsid w:val="00DC5E32"/>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2DE4"/>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07ECC"/>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7DD"/>
    <w:rsid w:val="00F75FF6"/>
    <w:rsid w:val="00F765AD"/>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047567E7-5E00-4B87-A858-60A323BE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07893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8520D67-456E-4776-A07A-637DC3C99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2016-02-05T17:29:00Z</cp:lastPrinted>
  <dcterms:created xsi:type="dcterms:W3CDTF">2016-02-05T18:45:00Z</dcterms:created>
  <dcterms:modified xsi:type="dcterms:W3CDTF">2016-02-08T21:07:00Z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-785556614</vt:i4>
  </property>
  <property fmtid="{D5CDD505-2E9C-101B-9397-08002B2CF9AE}" pid="11" name="_EmailSubject">
    <vt:lpwstr>conformance testing</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-1607363535</vt:i4>
  </property>
  <property fmtid="{D5CDD505-2E9C-101B-9397-08002B2CF9AE}" pid="15" name="_ReviewingToolsShownOnce">
    <vt:lpwstr/>
  </property>
</Properties>
</file>